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B9" w:rsidRPr="00423041" w:rsidRDefault="000A27D8" w:rsidP="000A27D8">
      <w:pPr>
        <w:jc w:val="center"/>
        <w:rPr>
          <w:rFonts w:cstheme="minorHAnsi"/>
          <w:b/>
          <w:sz w:val="28"/>
          <w:szCs w:val="24"/>
        </w:rPr>
      </w:pPr>
      <w:r w:rsidRPr="00423041">
        <w:rPr>
          <w:rFonts w:cstheme="minorHAnsi"/>
          <w:b/>
          <w:noProof/>
          <w:sz w:val="28"/>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4FE1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423041">
        <w:rPr>
          <w:rFonts w:cstheme="minorHAnsi"/>
          <w:b/>
          <w:noProof/>
          <w:sz w:val="28"/>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299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423041">
        <w:rPr>
          <w:rFonts w:cstheme="minorHAnsi"/>
          <w:b/>
          <w:sz w:val="28"/>
          <w:szCs w:val="24"/>
        </w:rPr>
        <w:t>Summary of Content Changes</w:t>
      </w:r>
      <w:r w:rsidR="000A751A" w:rsidRPr="00423041">
        <w:rPr>
          <w:rFonts w:cstheme="minorHAnsi"/>
          <w:b/>
          <w:sz w:val="28"/>
          <w:szCs w:val="24"/>
        </w:rPr>
        <w:br/>
        <w:t>201</w:t>
      </w:r>
      <w:r w:rsidR="0008184B" w:rsidRPr="00423041">
        <w:rPr>
          <w:rFonts w:cstheme="minorHAnsi"/>
          <w:b/>
          <w:sz w:val="28"/>
          <w:szCs w:val="24"/>
        </w:rPr>
        <w:t>7</w:t>
      </w:r>
      <w:r w:rsidR="000A751A" w:rsidRPr="00423041">
        <w:rPr>
          <w:rFonts w:cstheme="minorHAnsi"/>
          <w:b/>
          <w:sz w:val="28"/>
          <w:szCs w:val="24"/>
        </w:rPr>
        <w:t>.</w:t>
      </w:r>
      <w:r w:rsidR="00710767">
        <w:rPr>
          <w:rFonts w:cstheme="minorHAnsi"/>
          <w:b/>
          <w:sz w:val="28"/>
          <w:szCs w:val="24"/>
        </w:rPr>
        <w:t>5</w:t>
      </w:r>
      <w:bookmarkStart w:id="0" w:name="_GoBack"/>
      <w:bookmarkEnd w:id="0"/>
      <w:r w:rsidR="000A751A" w:rsidRPr="00423041">
        <w:rPr>
          <w:rFonts w:cstheme="minorHAnsi"/>
          <w:b/>
          <w:sz w:val="28"/>
          <w:szCs w:val="24"/>
        </w:rPr>
        <w:t xml:space="preserve"> Update – </w:t>
      </w:r>
      <w:r w:rsidR="0008184B" w:rsidRPr="00423041">
        <w:rPr>
          <w:rFonts w:cstheme="minorHAnsi"/>
          <w:b/>
          <w:sz w:val="28"/>
          <w:szCs w:val="24"/>
        </w:rPr>
        <w:t>December 2017</w:t>
      </w:r>
    </w:p>
    <w:p w:rsidR="00061545" w:rsidRPr="00423041" w:rsidRDefault="00061545">
      <w:pPr>
        <w:rPr>
          <w:rFonts w:cstheme="minorHAnsi"/>
          <w:b/>
          <w:sz w:val="24"/>
          <w:szCs w:val="24"/>
          <w:u w:val="single"/>
        </w:rPr>
      </w:pPr>
    </w:p>
    <w:p w:rsidR="00BB140A" w:rsidRPr="00423041" w:rsidRDefault="00BB140A">
      <w:pPr>
        <w:rPr>
          <w:rFonts w:cstheme="minorHAnsi"/>
          <w:b/>
          <w:sz w:val="24"/>
          <w:szCs w:val="24"/>
          <w:u w:val="single"/>
        </w:rPr>
      </w:pPr>
      <w:r w:rsidRPr="00423041">
        <w:rPr>
          <w:rFonts w:cstheme="minorHAnsi"/>
          <w:b/>
          <w:sz w:val="24"/>
          <w:szCs w:val="24"/>
          <w:u w:val="single"/>
        </w:rPr>
        <w:t>General Notes</w:t>
      </w:r>
    </w:p>
    <w:p w:rsidR="00883718" w:rsidRPr="00423041" w:rsidRDefault="0008184B" w:rsidP="00B52136">
      <w:pPr>
        <w:rPr>
          <w:rFonts w:cstheme="minorHAnsi"/>
          <w:sz w:val="24"/>
          <w:szCs w:val="24"/>
        </w:rPr>
      </w:pPr>
      <w:r w:rsidRPr="00423041">
        <w:rPr>
          <w:rFonts w:cstheme="minorHAnsi"/>
          <w:sz w:val="24"/>
          <w:szCs w:val="24"/>
        </w:rPr>
        <w:t>For the December update</w:t>
      </w:r>
      <w:r w:rsidR="00883718" w:rsidRPr="00423041">
        <w:rPr>
          <w:rFonts w:cstheme="minorHAnsi"/>
          <w:sz w:val="24"/>
          <w:szCs w:val="24"/>
        </w:rPr>
        <w:t>, m</w:t>
      </w:r>
      <w:r w:rsidRPr="00423041">
        <w:rPr>
          <w:rFonts w:cstheme="minorHAnsi"/>
          <w:sz w:val="24"/>
          <w:szCs w:val="24"/>
        </w:rPr>
        <w:t>any of the policy revisions</w:t>
      </w:r>
      <w:r w:rsidR="00FE6F1B" w:rsidRPr="00423041">
        <w:rPr>
          <w:rFonts w:cstheme="minorHAnsi"/>
          <w:sz w:val="24"/>
          <w:szCs w:val="24"/>
        </w:rPr>
        <w:t xml:space="preserve"> are related to annual indexed changes that are part of regulation, including the changes made to Health</w:t>
      </w:r>
      <w:r w:rsidR="00883718" w:rsidRPr="00423041">
        <w:rPr>
          <w:rFonts w:cstheme="minorHAnsi"/>
          <w:sz w:val="24"/>
          <w:szCs w:val="24"/>
        </w:rPr>
        <w:t xml:space="preserve"> Savings Accounts, Credit Cards, the </w:t>
      </w:r>
      <w:r w:rsidR="00FE6F1B" w:rsidRPr="00423041">
        <w:rPr>
          <w:rFonts w:cstheme="minorHAnsi"/>
          <w:sz w:val="24"/>
          <w:szCs w:val="24"/>
        </w:rPr>
        <w:t>Home Ownership Equity Protection Act (HOEPA)</w:t>
      </w:r>
      <w:r w:rsidR="00883718" w:rsidRPr="00423041">
        <w:rPr>
          <w:rFonts w:cstheme="minorHAnsi"/>
          <w:sz w:val="24"/>
          <w:szCs w:val="24"/>
        </w:rPr>
        <w:t>, and the Ability-to-</w:t>
      </w:r>
      <w:r w:rsidR="00FE6F1B" w:rsidRPr="00423041">
        <w:rPr>
          <w:rFonts w:cstheme="minorHAnsi"/>
          <w:sz w:val="24"/>
          <w:szCs w:val="24"/>
        </w:rPr>
        <w:t xml:space="preserve">Repay rules.  </w:t>
      </w:r>
    </w:p>
    <w:p w:rsidR="00883718" w:rsidRPr="00423041" w:rsidRDefault="00883718" w:rsidP="00B52136">
      <w:pPr>
        <w:rPr>
          <w:rFonts w:cstheme="minorHAnsi"/>
          <w:sz w:val="24"/>
          <w:szCs w:val="24"/>
        </w:rPr>
      </w:pPr>
      <w:r w:rsidRPr="00423041">
        <w:rPr>
          <w:rFonts w:cstheme="minorHAnsi"/>
          <w:sz w:val="24"/>
          <w:szCs w:val="24"/>
        </w:rPr>
        <w:t xml:space="preserve">Credit unions should also note that the NCUA’s revisions to the </w:t>
      </w:r>
      <w:r w:rsidR="0008184B" w:rsidRPr="00423041">
        <w:rPr>
          <w:rFonts w:cstheme="minorHAnsi"/>
          <w:sz w:val="24"/>
          <w:szCs w:val="24"/>
        </w:rPr>
        <w:t xml:space="preserve">Home Mortgage Disclosure Act (HMDA) rules </w:t>
      </w:r>
      <w:r w:rsidRPr="00423041">
        <w:rPr>
          <w:rFonts w:cstheme="minorHAnsi"/>
          <w:sz w:val="24"/>
          <w:szCs w:val="24"/>
        </w:rPr>
        <w:t>bec</w:t>
      </w:r>
      <w:r w:rsidR="0008184B" w:rsidRPr="00423041">
        <w:rPr>
          <w:rFonts w:cstheme="minorHAnsi"/>
          <w:sz w:val="24"/>
          <w:szCs w:val="24"/>
        </w:rPr>
        <w:t>ome effective on January 1, 2018</w:t>
      </w:r>
      <w:r w:rsidRPr="00423041">
        <w:rPr>
          <w:rFonts w:cstheme="minorHAnsi"/>
          <w:sz w:val="24"/>
          <w:szCs w:val="24"/>
        </w:rPr>
        <w:t>.</w:t>
      </w:r>
      <w:r w:rsidR="00AB0A58" w:rsidRPr="00423041">
        <w:rPr>
          <w:rFonts w:cstheme="minorHAnsi"/>
          <w:sz w:val="24"/>
          <w:szCs w:val="24"/>
        </w:rPr>
        <w:t xml:space="preserve">  Revisions </w:t>
      </w:r>
      <w:r w:rsidR="0008184B" w:rsidRPr="00423041">
        <w:rPr>
          <w:rFonts w:cstheme="minorHAnsi"/>
          <w:sz w:val="24"/>
          <w:szCs w:val="24"/>
        </w:rPr>
        <w:t xml:space="preserve">have already been made </w:t>
      </w:r>
      <w:proofErr w:type="gramStart"/>
      <w:r w:rsidR="0008184B" w:rsidRPr="00423041">
        <w:rPr>
          <w:rFonts w:cstheme="minorHAnsi"/>
          <w:sz w:val="24"/>
          <w:szCs w:val="24"/>
        </w:rPr>
        <w:t>to</w:t>
      </w:r>
      <w:proofErr w:type="gramEnd"/>
      <w:r w:rsidR="0008184B" w:rsidRPr="00423041">
        <w:rPr>
          <w:rFonts w:cstheme="minorHAnsi"/>
          <w:sz w:val="24"/>
          <w:szCs w:val="24"/>
        </w:rPr>
        <w:t xml:space="preserve"> Policy 9200 to comply.</w:t>
      </w:r>
    </w:p>
    <w:p w:rsidR="00061545" w:rsidRPr="00423041" w:rsidRDefault="00061545" w:rsidP="002D1823">
      <w:pPr>
        <w:spacing w:after="0"/>
        <w:rPr>
          <w:rFonts w:cstheme="minorHAnsi"/>
          <w:b/>
          <w:sz w:val="24"/>
          <w:szCs w:val="24"/>
          <w:u w:val="single"/>
        </w:rPr>
      </w:pPr>
      <w:r w:rsidRPr="00423041">
        <w:rPr>
          <w:rFonts w:cstheme="minorHAnsi"/>
          <w:b/>
          <w:sz w:val="24"/>
          <w:szCs w:val="24"/>
          <w:u w:val="single"/>
        </w:rPr>
        <w:t>Policy Updates Summary</w:t>
      </w:r>
    </w:p>
    <w:p w:rsidR="00EC6CDB" w:rsidRPr="00423041" w:rsidRDefault="00EC6CDB" w:rsidP="002D1823">
      <w:pPr>
        <w:spacing w:after="0"/>
        <w:rPr>
          <w:rFonts w:cstheme="minorHAnsi"/>
          <w:sz w:val="24"/>
          <w:szCs w:val="24"/>
        </w:rPr>
      </w:pPr>
    </w:p>
    <w:p w:rsidR="00423041" w:rsidRPr="00423041" w:rsidRDefault="00423041" w:rsidP="00423041">
      <w:pPr>
        <w:rPr>
          <w:rFonts w:cstheme="minorHAnsi"/>
          <w:color w:val="1F497D"/>
          <w:sz w:val="24"/>
          <w:szCs w:val="24"/>
        </w:rPr>
      </w:pPr>
      <w:r w:rsidRPr="00423041">
        <w:rPr>
          <w:rFonts w:cstheme="minorHAnsi"/>
          <w:b/>
          <w:bCs/>
          <w:sz w:val="24"/>
          <w:szCs w:val="24"/>
          <w:u w:val="single"/>
        </w:rPr>
        <w:t>Policy 1645 – Fraud</w:t>
      </w:r>
      <w:r w:rsidRPr="00423041">
        <w:rPr>
          <w:rFonts w:cstheme="minorHAnsi"/>
          <w:b/>
          <w:bCs/>
          <w:sz w:val="24"/>
          <w:szCs w:val="24"/>
          <w:u w:val="single"/>
        </w:rPr>
        <w:br/>
      </w:r>
      <w:r w:rsidR="00710767">
        <w:rPr>
          <w:rFonts w:cstheme="minorHAnsi"/>
          <w:b/>
          <w:bCs/>
          <w:sz w:val="24"/>
          <w:szCs w:val="24"/>
          <w:u w:val="single"/>
        </w:rPr>
        <w:t>2017-5</w:t>
      </w:r>
      <w:r w:rsidRPr="00423041">
        <w:rPr>
          <w:rFonts w:cstheme="minorHAnsi"/>
          <w:b/>
          <w:bCs/>
          <w:sz w:val="24"/>
          <w:szCs w:val="24"/>
          <w:u w:val="single"/>
        </w:rPr>
        <w:br/>
      </w:r>
      <w:r w:rsidRPr="00423041">
        <w:rPr>
          <w:rFonts w:cstheme="minorHAnsi"/>
          <w:sz w:val="24"/>
          <w:szCs w:val="24"/>
        </w:rPr>
        <w:t xml:space="preserve">In order to start streamlining some of our model policies and eliminating redundant content, we combined all of the Fraud and Internal Control policies (1645, 3200, 3201) into one policy, Policy 1645- Fraud. Credit unions are encouraged to adopt and customize Policy 1645. Policies 3200 (Internal Control) and 3201 (Internal Fraud) will be removed from the Model Policies Manual.  There is one new Key Field in this policy. </w:t>
      </w:r>
      <w:r w:rsidRPr="00423041">
        <w:rPr>
          <w:rFonts w:cstheme="minorHAnsi"/>
          <w:color w:val="FF0000"/>
          <w:sz w:val="24"/>
          <w:szCs w:val="24"/>
        </w:rPr>
        <w:t>(Recommended)</w:t>
      </w:r>
    </w:p>
    <w:p w:rsidR="00443125" w:rsidRPr="00423041" w:rsidRDefault="00443125" w:rsidP="00443125">
      <w:pPr>
        <w:spacing w:after="0"/>
        <w:rPr>
          <w:rFonts w:cstheme="minorHAnsi"/>
          <w:color w:val="FF0000"/>
          <w:sz w:val="24"/>
          <w:szCs w:val="24"/>
        </w:rPr>
      </w:pPr>
      <w:r w:rsidRPr="00423041">
        <w:rPr>
          <w:rFonts w:cstheme="minorHAnsi"/>
          <w:b/>
          <w:sz w:val="24"/>
          <w:szCs w:val="24"/>
          <w:u w:val="single"/>
        </w:rPr>
        <w:t xml:space="preserve">Policy 2185 – Third Party </w:t>
      </w:r>
      <w:proofErr w:type="gramStart"/>
      <w:r w:rsidRPr="00423041">
        <w:rPr>
          <w:rFonts w:cstheme="minorHAnsi"/>
          <w:b/>
          <w:sz w:val="24"/>
          <w:szCs w:val="24"/>
          <w:u w:val="single"/>
        </w:rPr>
        <w:t>Due</w:t>
      </w:r>
      <w:proofErr w:type="gramEnd"/>
      <w:r w:rsidRPr="00423041">
        <w:rPr>
          <w:rFonts w:cstheme="minorHAnsi"/>
          <w:b/>
          <w:sz w:val="24"/>
          <w:szCs w:val="24"/>
          <w:u w:val="single"/>
        </w:rPr>
        <w:t xml:space="preserve"> Diligence &amp; Oversight</w:t>
      </w:r>
    </w:p>
    <w:p w:rsidR="00443125" w:rsidRPr="00423041" w:rsidRDefault="00710767" w:rsidP="00443125">
      <w:pPr>
        <w:pStyle w:val="Default"/>
        <w:rPr>
          <w:rFonts w:asciiTheme="minorHAnsi" w:hAnsiTheme="minorHAnsi" w:cstheme="minorHAnsi"/>
          <w:b/>
          <w:color w:val="auto"/>
          <w:u w:val="single"/>
        </w:rPr>
      </w:pPr>
      <w:r>
        <w:rPr>
          <w:rFonts w:asciiTheme="minorHAnsi" w:hAnsiTheme="minorHAnsi" w:cstheme="minorHAnsi"/>
          <w:b/>
          <w:color w:val="auto"/>
          <w:u w:val="single"/>
        </w:rPr>
        <w:t>2017-5</w:t>
      </w:r>
    </w:p>
    <w:p w:rsidR="00443125" w:rsidRPr="00423041" w:rsidRDefault="00443125" w:rsidP="0087078F">
      <w:pPr>
        <w:pStyle w:val="Default"/>
        <w:rPr>
          <w:rFonts w:cstheme="minorHAnsi"/>
          <w:color w:val="FF0000"/>
        </w:rPr>
      </w:pPr>
      <w:r w:rsidRPr="00423041">
        <w:rPr>
          <w:rFonts w:asciiTheme="minorHAnsi" w:hAnsiTheme="minorHAnsi" w:cstheme="minorHAnsi"/>
          <w:color w:val="auto"/>
        </w:rPr>
        <w:t>Based on feedback received from credit unions, this policy was revised to add more clarity around the requirements for risk assessments.</w:t>
      </w:r>
      <w:r w:rsidR="0087078F">
        <w:rPr>
          <w:rFonts w:asciiTheme="minorHAnsi" w:hAnsiTheme="minorHAnsi" w:cstheme="minorHAnsi"/>
          <w:color w:val="auto"/>
        </w:rPr>
        <w:t xml:space="preserve"> </w:t>
      </w:r>
      <w:r w:rsidRPr="00423041">
        <w:rPr>
          <w:rFonts w:cstheme="minorHAnsi"/>
          <w:color w:val="FF0000"/>
        </w:rPr>
        <w:t>(Recommended)</w:t>
      </w:r>
    </w:p>
    <w:p w:rsidR="00443125" w:rsidRPr="00423041" w:rsidRDefault="00443125" w:rsidP="00FE6F1B">
      <w:pPr>
        <w:spacing w:after="0"/>
        <w:rPr>
          <w:rFonts w:cstheme="minorHAnsi"/>
          <w:b/>
          <w:sz w:val="24"/>
          <w:szCs w:val="24"/>
          <w:u w:val="single"/>
        </w:rPr>
      </w:pPr>
    </w:p>
    <w:p w:rsidR="00FE6F1B" w:rsidRPr="00423041" w:rsidRDefault="00FE6F1B" w:rsidP="00FE6F1B">
      <w:pPr>
        <w:spacing w:after="0"/>
        <w:rPr>
          <w:rFonts w:cstheme="minorHAnsi"/>
          <w:color w:val="FF0000"/>
          <w:sz w:val="24"/>
          <w:szCs w:val="24"/>
        </w:rPr>
      </w:pPr>
      <w:r w:rsidRPr="00423041">
        <w:rPr>
          <w:rFonts w:cstheme="minorHAnsi"/>
          <w:b/>
          <w:sz w:val="24"/>
          <w:szCs w:val="24"/>
          <w:u w:val="single"/>
        </w:rPr>
        <w:t>Policy 2214 – Health Savings Accounts</w:t>
      </w:r>
    </w:p>
    <w:p w:rsidR="00FE6F1B" w:rsidRPr="00423041" w:rsidRDefault="00710767" w:rsidP="00FE6F1B">
      <w:pPr>
        <w:pStyle w:val="Default"/>
        <w:rPr>
          <w:rFonts w:asciiTheme="minorHAnsi" w:hAnsiTheme="minorHAnsi" w:cstheme="minorHAnsi"/>
          <w:b/>
          <w:color w:val="auto"/>
          <w:u w:val="single"/>
        </w:rPr>
      </w:pPr>
      <w:r>
        <w:rPr>
          <w:rFonts w:asciiTheme="minorHAnsi" w:hAnsiTheme="minorHAnsi" w:cstheme="minorHAnsi"/>
          <w:b/>
          <w:color w:val="auto"/>
          <w:u w:val="single"/>
        </w:rPr>
        <w:t>2017-5</w:t>
      </w:r>
    </w:p>
    <w:p w:rsidR="00FE6F1B" w:rsidRPr="00423041" w:rsidRDefault="00FE6F1B" w:rsidP="00FE6F1B">
      <w:pPr>
        <w:pStyle w:val="Default"/>
        <w:rPr>
          <w:rFonts w:asciiTheme="minorHAnsi" w:hAnsiTheme="minorHAnsi" w:cstheme="minorHAnsi"/>
          <w:color w:val="FF0000"/>
        </w:rPr>
      </w:pPr>
      <w:r w:rsidRPr="00423041">
        <w:rPr>
          <w:rFonts w:asciiTheme="minorHAnsi" w:hAnsiTheme="minorHAnsi" w:cstheme="minorHAnsi"/>
          <w:color w:val="auto"/>
        </w:rPr>
        <w:t xml:space="preserve">Each year the </w:t>
      </w:r>
      <w:hyperlink r:id="rId5" w:history="1">
        <w:r w:rsidRPr="00423041">
          <w:rPr>
            <w:rStyle w:val="Hyperlink"/>
            <w:rFonts w:asciiTheme="minorHAnsi" w:hAnsiTheme="minorHAnsi" w:cstheme="minorHAnsi"/>
          </w:rPr>
          <w:t>IRS changes</w:t>
        </w:r>
      </w:hyperlink>
      <w:r w:rsidRPr="00423041">
        <w:rPr>
          <w:rFonts w:asciiTheme="minorHAnsi" w:hAnsiTheme="minorHAnsi" w:cstheme="minorHAnsi"/>
          <w:color w:val="auto"/>
        </w:rPr>
        <w:t xml:space="preserve"> the contribution limits that can be made to health savings accounts for both individuals and</w:t>
      </w:r>
      <w:r w:rsidR="006D6769" w:rsidRPr="00423041">
        <w:rPr>
          <w:rFonts w:asciiTheme="minorHAnsi" w:hAnsiTheme="minorHAnsi" w:cstheme="minorHAnsi"/>
          <w:color w:val="auto"/>
        </w:rPr>
        <w:t xml:space="preserve"> family.  Those changes for 2017</w:t>
      </w:r>
      <w:r w:rsidRPr="00423041">
        <w:rPr>
          <w:rFonts w:asciiTheme="minorHAnsi" w:hAnsiTheme="minorHAnsi" w:cstheme="minorHAnsi"/>
          <w:color w:val="auto"/>
        </w:rPr>
        <w:t xml:space="preserve"> are reflected in the policy revisions.</w:t>
      </w:r>
      <w:r w:rsidR="0087078F">
        <w:rPr>
          <w:rFonts w:asciiTheme="minorHAnsi" w:hAnsiTheme="minorHAnsi" w:cstheme="minorHAnsi"/>
          <w:color w:val="auto"/>
        </w:rPr>
        <w:t xml:space="preserve"> </w:t>
      </w:r>
    </w:p>
    <w:p w:rsidR="00FE6F1B" w:rsidRPr="00423041" w:rsidRDefault="00FE6F1B" w:rsidP="00FE6F1B">
      <w:pPr>
        <w:spacing w:after="0"/>
        <w:rPr>
          <w:rFonts w:cstheme="minorHAnsi"/>
          <w:color w:val="FF0000"/>
          <w:sz w:val="24"/>
          <w:szCs w:val="24"/>
        </w:rPr>
      </w:pPr>
      <w:r w:rsidRPr="00423041">
        <w:rPr>
          <w:rFonts w:cstheme="minorHAnsi"/>
          <w:color w:val="FF0000"/>
          <w:sz w:val="24"/>
          <w:szCs w:val="24"/>
        </w:rPr>
        <w:t>(Required)</w:t>
      </w:r>
    </w:p>
    <w:p w:rsidR="00FE6F1B" w:rsidRPr="00423041" w:rsidRDefault="00FE6F1B" w:rsidP="00FE6F1B">
      <w:pPr>
        <w:pStyle w:val="Default"/>
        <w:rPr>
          <w:rFonts w:asciiTheme="minorHAnsi" w:hAnsiTheme="minorHAnsi" w:cstheme="minorHAnsi"/>
          <w:b/>
          <w:color w:val="auto"/>
          <w:u w:val="single"/>
        </w:rPr>
      </w:pPr>
    </w:p>
    <w:p w:rsidR="00FC5F2F" w:rsidRPr="00423041" w:rsidRDefault="00FC5F2F" w:rsidP="00FC5F2F">
      <w:pPr>
        <w:spacing w:after="0"/>
        <w:rPr>
          <w:rFonts w:cstheme="minorHAnsi"/>
          <w:color w:val="FF0000"/>
          <w:sz w:val="24"/>
          <w:szCs w:val="24"/>
        </w:rPr>
      </w:pPr>
      <w:r w:rsidRPr="00423041">
        <w:rPr>
          <w:rFonts w:cstheme="minorHAnsi"/>
          <w:b/>
          <w:sz w:val="24"/>
          <w:szCs w:val="24"/>
          <w:u w:val="single"/>
        </w:rPr>
        <w:t>Policy 2223 – Children’s Online Privacy Protection</w:t>
      </w:r>
    </w:p>
    <w:p w:rsidR="00FC5F2F" w:rsidRPr="00423041" w:rsidRDefault="00710767" w:rsidP="00FC5F2F">
      <w:pPr>
        <w:pStyle w:val="Default"/>
        <w:rPr>
          <w:rFonts w:asciiTheme="minorHAnsi" w:hAnsiTheme="minorHAnsi" w:cstheme="minorHAnsi"/>
          <w:b/>
          <w:color w:val="auto"/>
          <w:u w:val="single"/>
        </w:rPr>
      </w:pPr>
      <w:r>
        <w:rPr>
          <w:rFonts w:asciiTheme="minorHAnsi" w:hAnsiTheme="minorHAnsi" w:cstheme="minorHAnsi"/>
          <w:b/>
          <w:color w:val="auto"/>
          <w:u w:val="single"/>
        </w:rPr>
        <w:t>2017-5</w:t>
      </w:r>
    </w:p>
    <w:p w:rsidR="00FC5F2F" w:rsidRPr="00423041" w:rsidRDefault="00FC5F2F" w:rsidP="0087078F">
      <w:pPr>
        <w:pStyle w:val="Default"/>
        <w:rPr>
          <w:rFonts w:cstheme="minorHAnsi"/>
          <w:color w:val="FF0000"/>
        </w:rPr>
      </w:pPr>
      <w:r w:rsidRPr="00423041">
        <w:rPr>
          <w:rFonts w:asciiTheme="minorHAnsi" w:hAnsiTheme="minorHAnsi" w:cstheme="minorHAnsi"/>
          <w:color w:val="auto"/>
        </w:rPr>
        <w:t xml:space="preserve">Based on the </w:t>
      </w:r>
      <w:hyperlink r:id="rId6" w:history="1">
        <w:r w:rsidRPr="00423041">
          <w:rPr>
            <w:rStyle w:val="Hyperlink"/>
            <w:rFonts w:asciiTheme="minorHAnsi" w:hAnsiTheme="minorHAnsi" w:cstheme="minorHAnsi"/>
          </w:rPr>
          <w:t>guidance issued by the FTC</w:t>
        </w:r>
      </w:hyperlink>
      <w:r w:rsidRPr="00423041">
        <w:rPr>
          <w:rFonts w:asciiTheme="minorHAnsi" w:hAnsiTheme="minorHAnsi" w:cstheme="minorHAnsi"/>
          <w:color w:val="auto"/>
        </w:rPr>
        <w:t xml:space="preserve"> related to the use of voice recordings as a replacement for written words in performing search and other function, Policy 2223 has been updated.</w:t>
      </w:r>
      <w:r w:rsidR="0087078F">
        <w:rPr>
          <w:rFonts w:asciiTheme="minorHAnsi" w:hAnsiTheme="minorHAnsi" w:cstheme="minorHAnsi"/>
          <w:color w:val="auto"/>
        </w:rPr>
        <w:t xml:space="preserve"> </w:t>
      </w:r>
      <w:r w:rsidRPr="00423041">
        <w:rPr>
          <w:rFonts w:cstheme="minorHAnsi"/>
          <w:color w:val="FF0000"/>
        </w:rPr>
        <w:t>(Recommended)</w:t>
      </w:r>
    </w:p>
    <w:p w:rsidR="00F027A2" w:rsidRDefault="00F027A2" w:rsidP="00FC5F2F">
      <w:pPr>
        <w:spacing w:after="0"/>
        <w:rPr>
          <w:rFonts w:cstheme="minorHAnsi"/>
          <w:color w:val="FF0000"/>
          <w:sz w:val="24"/>
          <w:szCs w:val="24"/>
        </w:rPr>
      </w:pPr>
    </w:p>
    <w:p w:rsidR="00710767" w:rsidRPr="00423041" w:rsidRDefault="00710767" w:rsidP="00710767">
      <w:pPr>
        <w:pStyle w:val="Default"/>
        <w:rPr>
          <w:rFonts w:cstheme="minorHAnsi"/>
          <w:color w:val="FF0000"/>
        </w:rPr>
      </w:pPr>
      <w:r w:rsidRPr="00423041">
        <w:rPr>
          <w:rFonts w:asciiTheme="minorHAnsi" w:hAnsiTheme="minorHAnsi" w:cstheme="minorHAnsi"/>
          <w:color w:val="auto"/>
        </w:rPr>
        <w:lastRenderedPageBreak/>
        <w:t xml:space="preserve">Based on the </w:t>
      </w:r>
      <w:hyperlink r:id="rId7" w:history="1">
        <w:r w:rsidRPr="00423041">
          <w:rPr>
            <w:rStyle w:val="Hyperlink"/>
            <w:rFonts w:asciiTheme="minorHAnsi" w:hAnsiTheme="minorHAnsi" w:cstheme="minorHAnsi"/>
          </w:rPr>
          <w:t>guidance issued by the FTC</w:t>
        </w:r>
      </w:hyperlink>
      <w:r w:rsidRPr="00423041">
        <w:rPr>
          <w:rFonts w:asciiTheme="minorHAnsi" w:hAnsiTheme="minorHAnsi" w:cstheme="minorHAnsi"/>
          <w:color w:val="auto"/>
        </w:rPr>
        <w:t xml:space="preserve"> related to the use of voice recordings as a replacement for written words in performing search and other function, Policy 2223 has been updated.</w:t>
      </w:r>
      <w:r>
        <w:rPr>
          <w:rFonts w:asciiTheme="minorHAnsi" w:hAnsiTheme="minorHAnsi" w:cstheme="minorHAnsi"/>
          <w:color w:val="auto"/>
        </w:rPr>
        <w:t xml:space="preserve"> </w:t>
      </w:r>
      <w:r w:rsidRPr="00423041">
        <w:rPr>
          <w:rFonts w:cstheme="minorHAnsi"/>
          <w:color w:val="FF0000"/>
        </w:rPr>
        <w:t>(Recommended)</w:t>
      </w:r>
    </w:p>
    <w:p w:rsidR="00710767" w:rsidRPr="00423041" w:rsidRDefault="00710767" w:rsidP="00FC5F2F">
      <w:pPr>
        <w:spacing w:after="0"/>
        <w:rPr>
          <w:rFonts w:cstheme="minorHAnsi"/>
          <w:color w:val="FF0000"/>
          <w:sz w:val="24"/>
          <w:szCs w:val="24"/>
        </w:rPr>
      </w:pPr>
    </w:p>
    <w:p w:rsidR="00F027A2" w:rsidRPr="00423041" w:rsidRDefault="00F027A2" w:rsidP="00F027A2">
      <w:pPr>
        <w:spacing w:after="0"/>
        <w:rPr>
          <w:rFonts w:cstheme="minorHAnsi"/>
          <w:color w:val="FF0000"/>
          <w:sz w:val="24"/>
          <w:szCs w:val="24"/>
        </w:rPr>
      </w:pPr>
      <w:r w:rsidRPr="00423041">
        <w:rPr>
          <w:rFonts w:cstheme="minorHAnsi"/>
          <w:b/>
          <w:sz w:val="24"/>
          <w:szCs w:val="24"/>
          <w:u w:val="single"/>
        </w:rPr>
        <w:t>Policy 2600 – Electronic funds Transfer</w:t>
      </w:r>
    </w:p>
    <w:p w:rsidR="00F027A2" w:rsidRPr="00423041" w:rsidRDefault="00710767" w:rsidP="00F027A2">
      <w:pPr>
        <w:pStyle w:val="Default"/>
        <w:rPr>
          <w:rFonts w:asciiTheme="minorHAnsi" w:hAnsiTheme="minorHAnsi" w:cstheme="minorHAnsi"/>
          <w:b/>
          <w:color w:val="auto"/>
          <w:u w:val="single"/>
        </w:rPr>
      </w:pPr>
      <w:r>
        <w:rPr>
          <w:rFonts w:asciiTheme="minorHAnsi" w:hAnsiTheme="minorHAnsi" w:cstheme="minorHAnsi"/>
          <w:b/>
          <w:color w:val="auto"/>
          <w:u w:val="single"/>
        </w:rPr>
        <w:t>2017-5</w:t>
      </w:r>
    </w:p>
    <w:p w:rsidR="00F027A2" w:rsidRPr="00423041" w:rsidRDefault="00F027A2" w:rsidP="00423041">
      <w:pPr>
        <w:pStyle w:val="Default"/>
        <w:rPr>
          <w:rFonts w:asciiTheme="minorHAnsi" w:hAnsiTheme="minorHAnsi" w:cstheme="minorHAnsi"/>
          <w:color w:val="FF0000"/>
        </w:rPr>
      </w:pPr>
      <w:r w:rsidRPr="00423041">
        <w:rPr>
          <w:rFonts w:asciiTheme="minorHAnsi" w:hAnsiTheme="minorHAnsi" w:cstheme="minorHAnsi"/>
          <w:color w:val="auto"/>
        </w:rPr>
        <w:t>This policy was revised to correct a clerical error.</w:t>
      </w:r>
      <w:r w:rsidR="00423041">
        <w:rPr>
          <w:rFonts w:asciiTheme="minorHAnsi" w:hAnsiTheme="minorHAnsi" w:cstheme="minorHAnsi"/>
          <w:color w:val="auto"/>
        </w:rPr>
        <w:t xml:space="preserve">  </w:t>
      </w:r>
      <w:r w:rsidRPr="00423041">
        <w:rPr>
          <w:rFonts w:asciiTheme="minorHAnsi" w:hAnsiTheme="minorHAnsi" w:cstheme="minorHAnsi"/>
          <w:color w:val="FF0000"/>
        </w:rPr>
        <w:t>(Recommended)</w:t>
      </w:r>
    </w:p>
    <w:p w:rsidR="00F027A2" w:rsidRPr="00423041" w:rsidRDefault="00F027A2" w:rsidP="00FC5F2F">
      <w:pPr>
        <w:spacing w:after="0"/>
        <w:rPr>
          <w:rFonts w:cstheme="minorHAnsi"/>
          <w:color w:val="FF0000"/>
          <w:sz w:val="24"/>
          <w:szCs w:val="24"/>
        </w:rPr>
      </w:pPr>
    </w:p>
    <w:p w:rsidR="00423041" w:rsidRDefault="00423041" w:rsidP="0087078F">
      <w:pPr>
        <w:rPr>
          <w:rFonts w:ascii="Calibri" w:hAnsi="Calibri" w:cs="Calibri"/>
        </w:rPr>
      </w:pPr>
      <w:r>
        <w:rPr>
          <w:b/>
          <w:bCs/>
          <w:sz w:val="24"/>
          <w:szCs w:val="24"/>
          <w:u w:val="single"/>
        </w:rPr>
        <w:t>DELETED POLICY - Policy 3200 - Internal Control</w:t>
      </w:r>
      <w:r>
        <w:rPr>
          <w:b/>
          <w:bCs/>
          <w:sz w:val="24"/>
          <w:szCs w:val="24"/>
          <w:u w:val="single"/>
        </w:rPr>
        <w:br/>
      </w:r>
      <w:r w:rsidR="00710767">
        <w:rPr>
          <w:rFonts w:ascii="Calibri" w:hAnsi="Calibri" w:cs="Calibri"/>
          <w:b/>
          <w:bCs/>
          <w:u w:val="single"/>
        </w:rPr>
        <w:t>2017-5</w:t>
      </w:r>
      <w:r w:rsidR="0087078F">
        <w:rPr>
          <w:rFonts w:ascii="Calibri" w:hAnsi="Calibri" w:cs="Calibri"/>
          <w:b/>
          <w:bCs/>
          <w:u w:val="single"/>
        </w:rPr>
        <w:br/>
      </w:r>
      <w:r>
        <w:rPr>
          <w:rFonts w:ascii="Calibri" w:hAnsi="Calibri" w:cs="Calibri"/>
        </w:rPr>
        <w:t xml:space="preserve">In order to start streamlining some of our model policies and eliminating redundant content, we combined all of the Fraud and Internal Control policies (1645, 3200, </w:t>
      </w:r>
      <w:proofErr w:type="gramStart"/>
      <w:r>
        <w:rPr>
          <w:rFonts w:ascii="Calibri" w:hAnsi="Calibri" w:cs="Calibri"/>
        </w:rPr>
        <w:t>3201</w:t>
      </w:r>
      <w:proofErr w:type="gramEnd"/>
      <w:r>
        <w:rPr>
          <w:rFonts w:ascii="Calibri" w:hAnsi="Calibri" w:cs="Calibri"/>
        </w:rPr>
        <w:t>) into one policy, Policy 1645- Fraud. Credit unions are encouraged to adopt and customize Policy 1645. Policies 3200 (Internal Control) and 3201 (Internal Fraud) will be removed from the Model Policies Manual.</w:t>
      </w:r>
    </w:p>
    <w:p w:rsidR="00423041" w:rsidRPr="00423041" w:rsidRDefault="00423041" w:rsidP="00423041">
      <w:pPr>
        <w:rPr>
          <w:rFonts w:cstheme="minorHAnsi"/>
          <w:b/>
          <w:bCs/>
          <w:sz w:val="24"/>
          <w:szCs w:val="24"/>
          <w:u w:val="single"/>
        </w:rPr>
      </w:pPr>
      <w:r w:rsidRPr="00423041">
        <w:rPr>
          <w:rFonts w:cstheme="minorHAnsi"/>
          <w:b/>
          <w:bCs/>
          <w:sz w:val="24"/>
          <w:szCs w:val="24"/>
          <w:u w:val="single"/>
        </w:rPr>
        <w:t>DELETED POLICY - Policy 3201 - Internal Fraud</w:t>
      </w:r>
      <w:r>
        <w:rPr>
          <w:rFonts w:cstheme="minorHAnsi"/>
          <w:b/>
          <w:bCs/>
          <w:sz w:val="24"/>
          <w:szCs w:val="24"/>
          <w:u w:val="single"/>
        </w:rPr>
        <w:t xml:space="preserve"> </w:t>
      </w:r>
      <w:r>
        <w:rPr>
          <w:rFonts w:cstheme="minorHAnsi"/>
          <w:b/>
          <w:bCs/>
          <w:sz w:val="24"/>
          <w:szCs w:val="24"/>
          <w:u w:val="single"/>
        </w:rPr>
        <w:br/>
      </w:r>
      <w:r w:rsidR="00710767">
        <w:rPr>
          <w:rFonts w:cstheme="minorHAnsi"/>
          <w:b/>
          <w:bCs/>
          <w:sz w:val="24"/>
          <w:szCs w:val="24"/>
          <w:u w:val="single"/>
        </w:rPr>
        <w:t>2017-5</w:t>
      </w:r>
      <w:r>
        <w:rPr>
          <w:rFonts w:cstheme="minorHAnsi"/>
          <w:b/>
          <w:bCs/>
          <w:sz w:val="24"/>
          <w:szCs w:val="24"/>
          <w:u w:val="single"/>
        </w:rPr>
        <w:br/>
      </w:r>
      <w:r w:rsidRPr="00423041">
        <w:rPr>
          <w:rFonts w:cstheme="minorHAnsi"/>
          <w:sz w:val="24"/>
          <w:szCs w:val="24"/>
        </w:rPr>
        <w:t xml:space="preserve">In order to start streamlining some of our model policies and eliminating redundant content, we combined all of the Fraud and Internal Control policies (1645, 3200, </w:t>
      </w:r>
      <w:proofErr w:type="gramStart"/>
      <w:r w:rsidRPr="00423041">
        <w:rPr>
          <w:rFonts w:cstheme="minorHAnsi"/>
          <w:sz w:val="24"/>
          <w:szCs w:val="24"/>
        </w:rPr>
        <w:t>3201</w:t>
      </w:r>
      <w:proofErr w:type="gramEnd"/>
      <w:r w:rsidRPr="00423041">
        <w:rPr>
          <w:rFonts w:cstheme="minorHAnsi"/>
          <w:sz w:val="24"/>
          <w:szCs w:val="24"/>
        </w:rPr>
        <w:t>) into one policy, Policy 1645- Fraud. Credit unions are encouraged to adopt and customize Policy 1645. Policies 3200 (Internal Control) and 3201 (Internal Fraud) will be removed from the Model Policies Manual.</w:t>
      </w:r>
    </w:p>
    <w:p w:rsidR="00FC5F2F" w:rsidRPr="00423041" w:rsidRDefault="00FC5F2F" w:rsidP="00FE6F1B">
      <w:pPr>
        <w:pStyle w:val="Default"/>
        <w:rPr>
          <w:rFonts w:asciiTheme="minorHAnsi" w:hAnsiTheme="minorHAnsi" w:cstheme="minorHAnsi"/>
          <w:b/>
          <w:color w:val="auto"/>
          <w:u w:val="single"/>
        </w:rPr>
      </w:pPr>
    </w:p>
    <w:p w:rsidR="00443125" w:rsidRPr="00423041" w:rsidRDefault="00443125" w:rsidP="00443125">
      <w:pPr>
        <w:spacing w:after="0"/>
        <w:rPr>
          <w:rFonts w:cstheme="minorHAnsi"/>
          <w:b/>
          <w:sz w:val="24"/>
          <w:szCs w:val="24"/>
          <w:u w:val="single"/>
        </w:rPr>
      </w:pPr>
      <w:r w:rsidRPr="00423041">
        <w:rPr>
          <w:rFonts w:cstheme="minorHAnsi"/>
          <w:b/>
          <w:sz w:val="24"/>
          <w:szCs w:val="24"/>
          <w:u w:val="single"/>
        </w:rPr>
        <w:t>Policy 7145 – Loan Limits</w:t>
      </w:r>
    </w:p>
    <w:p w:rsidR="00443125" w:rsidRPr="00423041" w:rsidRDefault="00710767" w:rsidP="00443125">
      <w:pPr>
        <w:spacing w:after="0"/>
        <w:rPr>
          <w:rFonts w:cstheme="minorHAnsi"/>
          <w:b/>
          <w:sz w:val="24"/>
          <w:szCs w:val="24"/>
          <w:u w:val="single"/>
        </w:rPr>
      </w:pPr>
      <w:r>
        <w:rPr>
          <w:rFonts w:cstheme="minorHAnsi"/>
          <w:b/>
          <w:sz w:val="24"/>
          <w:szCs w:val="24"/>
          <w:u w:val="single"/>
        </w:rPr>
        <w:t>2017-5</w:t>
      </w:r>
    </w:p>
    <w:p w:rsidR="00FC5F2F" w:rsidRPr="00423041" w:rsidRDefault="00443125" w:rsidP="00C63507">
      <w:pPr>
        <w:spacing w:after="0"/>
        <w:rPr>
          <w:rFonts w:cstheme="minorHAnsi"/>
          <w:b/>
          <w:u w:val="single"/>
        </w:rPr>
      </w:pPr>
      <w:r w:rsidRPr="00423041">
        <w:rPr>
          <w:rFonts w:cstheme="minorHAnsi"/>
          <w:sz w:val="24"/>
          <w:szCs w:val="24"/>
        </w:rPr>
        <w:t xml:space="preserve">This policy was revised to comply with the </w:t>
      </w:r>
      <w:r w:rsidR="00D5526E" w:rsidRPr="00423041">
        <w:rPr>
          <w:rFonts w:cstheme="minorHAnsi"/>
          <w:sz w:val="24"/>
          <w:szCs w:val="24"/>
        </w:rPr>
        <w:t>changes made to the NCUA’s Member Business Lending Rules.  Existing language prescriptive language for limits on MBLs were removed and reference the Member Business Loans/Commercial Lending policy.</w:t>
      </w:r>
      <w:r w:rsidR="0087078F">
        <w:rPr>
          <w:rFonts w:cstheme="minorHAnsi"/>
          <w:sz w:val="24"/>
          <w:szCs w:val="24"/>
        </w:rPr>
        <w:t xml:space="preserve"> </w:t>
      </w:r>
      <w:r w:rsidRPr="00423041">
        <w:rPr>
          <w:rFonts w:cstheme="minorHAnsi"/>
          <w:color w:val="FF0000"/>
          <w:sz w:val="24"/>
          <w:szCs w:val="24"/>
        </w:rPr>
        <w:t xml:space="preserve">(Required if </w:t>
      </w:r>
      <w:r w:rsidR="00D5526E" w:rsidRPr="00423041">
        <w:rPr>
          <w:rFonts w:cstheme="minorHAnsi"/>
          <w:color w:val="FF0000"/>
          <w:sz w:val="24"/>
          <w:szCs w:val="24"/>
        </w:rPr>
        <w:t>Credit Union conducts Member Business Lending</w:t>
      </w:r>
      <w:r w:rsidRPr="00423041">
        <w:rPr>
          <w:rFonts w:cstheme="minorHAnsi"/>
          <w:color w:val="FF0000"/>
          <w:sz w:val="24"/>
          <w:szCs w:val="24"/>
        </w:rPr>
        <w:t>)</w:t>
      </w:r>
    </w:p>
    <w:p w:rsidR="00FE6F1B" w:rsidRPr="00423041" w:rsidRDefault="00FE6F1B" w:rsidP="00FE6F1B">
      <w:pPr>
        <w:pStyle w:val="Default"/>
        <w:rPr>
          <w:rFonts w:asciiTheme="minorHAnsi" w:hAnsiTheme="minorHAnsi" w:cstheme="minorHAnsi"/>
          <w:b/>
          <w:color w:val="auto"/>
          <w:u w:val="single"/>
        </w:rPr>
      </w:pPr>
    </w:p>
    <w:p w:rsidR="00A03351" w:rsidRPr="00423041" w:rsidRDefault="00F96232" w:rsidP="00046168">
      <w:pPr>
        <w:spacing w:after="0"/>
        <w:rPr>
          <w:rFonts w:cstheme="minorHAnsi"/>
          <w:b/>
          <w:sz w:val="24"/>
          <w:szCs w:val="24"/>
          <w:u w:val="single"/>
        </w:rPr>
      </w:pPr>
      <w:r w:rsidRPr="00423041">
        <w:rPr>
          <w:rFonts w:cstheme="minorHAnsi"/>
          <w:b/>
          <w:sz w:val="24"/>
          <w:szCs w:val="24"/>
          <w:u w:val="single"/>
        </w:rPr>
        <w:t>Policy 7350 – Ability to Repay</w:t>
      </w:r>
    </w:p>
    <w:p w:rsidR="00F96232" w:rsidRPr="00423041" w:rsidRDefault="00710767" w:rsidP="00046168">
      <w:pPr>
        <w:spacing w:after="0"/>
        <w:rPr>
          <w:rFonts w:cstheme="minorHAnsi"/>
          <w:b/>
          <w:sz w:val="24"/>
          <w:szCs w:val="24"/>
          <w:u w:val="single"/>
        </w:rPr>
      </w:pPr>
      <w:r>
        <w:rPr>
          <w:rFonts w:cstheme="minorHAnsi"/>
          <w:b/>
          <w:sz w:val="24"/>
          <w:szCs w:val="24"/>
          <w:u w:val="single"/>
        </w:rPr>
        <w:t>2017-5</w:t>
      </w:r>
    </w:p>
    <w:p w:rsidR="00F96232" w:rsidRPr="00423041" w:rsidRDefault="00F96232" w:rsidP="00F96232">
      <w:pPr>
        <w:spacing w:after="0"/>
        <w:rPr>
          <w:rFonts w:cstheme="minorHAnsi"/>
          <w:color w:val="FF0000"/>
          <w:sz w:val="24"/>
          <w:szCs w:val="24"/>
        </w:rPr>
      </w:pPr>
      <w:r w:rsidRPr="00423041">
        <w:rPr>
          <w:rFonts w:cstheme="minorHAnsi"/>
          <w:sz w:val="24"/>
          <w:szCs w:val="24"/>
        </w:rPr>
        <w:t xml:space="preserve">Policy 7350 was revised to comply with the annual changes made to the </w:t>
      </w:r>
      <w:hyperlink r:id="rId8" w:history="1">
        <w:r w:rsidRPr="00423041">
          <w:rPr>
            <w:rStyle w:val="Hyperlink"/>
            <w:rFonts w:cstheme="minorHAnsi"/>
            <w:sz w:val="24"/>
            <w:szCs w:val="24"/>
          </w:rPr>
          <w:t>points and fee threshold</w:t>
        </w:r>
        <w:r w:rsidR="00D70B2C" w:rsidRPr="00423041">
          <w:rPr>
            <w:rStyle w:val="Hyperlink"/>
            <w:rFonts w:cstheme="minorHAnsi"/>
            <w:sz w:val="24"/>
            <w:szCs w:val="24"/>
          </w:rPr>
          <w:t>s</w:t>
        </w:r>
      </w:hyperlink>
      <w:r w:rsidRPr="00423041">
        <w:rPr>
          <w:rFonts w:cstheme="minorHAnsi"/>
          <w:sz w:val="24"/>
          <w:szCs w:val="24"/>
        </w:rPr>
        <w:t xml:space="preserve"> </w:t>
      </w:r>
      <w:r w:rsidR="0008184B" w:rsidRPr="00423041">
        <w:rPr>
          <w:rFonts w:cstheme="minorHAnsi"/>
          <w:sz w:val="24"/>
          <w:szCs w:val="24"/>
        </w:rPr>
        <w:t xml:space="preserve">to determine if a mortgage is considered a qualified mortgage under the rules, </w:t>
      </w:r>
      <w:r w:rsidRPr="00423041">
        <w:rPr>
          <w:rFonts w:cstheme="minorHAnsi"/>
          <w:sz w:val="24"/>
          <w:szCs w:val="24"/>
        </w:rPr>
        <w:t>based on the Consumer Price Index.</w:t>
      </w:r>
      <w:r w:rsidR="0087078F">
        <w:rPr>
          <w:rFonts w:cstheme="minorHAnsi"/>
          <w:sz w:val="24"/>
          <w:szCs w:val="24"/>
        </w:rPr>
        <w:t xml:space="preserve"> </w:t>
      </w:r>
      <w:r w:rsidRPr="00423041">
        <w:rPr>
          <w:rFonts w:cstheme="minorHAnsi"/>
          <w:color w:val="FF0000"/>
          <w:sz w:val="24"/>
          <w:szCs w:val="24"/>
        </w:rPr>
        <w:t>(Required)</w:t>
      </w:r>
    </w:p>
    <w:p w:rsidR="00D70B2C" w:rsidRPr="00423041" w:rsidRDefault="00D70B2C" w:rsidP="00F96232">
      <w:pPr>
        <w:spacing w:after="0"/>
        <w:rPr>
          <w:rFonts w:cstheme="minorHAnsi"/>
          <w:color w:val="FF0000"/>
          <w:sz w:val="24"/>
          <w:szCs w:val="24"/>
        </w:rPr>
      </w:pPr>
    </w:p>
    <w:p w:rsidR="00EC6CDB" w:rsidRPr="00423041" w:rsidRDefault="00EC6CDB" w:rsidP="00EC6CDB">
      <w:pPr>
        <w:spacing w:after="0"/>
        <w:rPr>
          <w:rFonts w:cstheme="minorHAnsi"/>
          <w:b/>
          <w:sz w:val="24"/>
          <w:szCs w:val="24"/>
          <w:u w:val="single"/>
        </w:rPr>
      </w:pPr>
      <w:r w:rsidRPr="00423041">
        <w:rPr>
          <w:rFonts w:cstheme="minorHAnsi"/>
          <w:b/>
          <w:sz w:val="24"/>
          <w:szCs w:val="24"/>
          <w:u w:val="single"/>
        </w:rPr>
        <w:t>Policy 7351 – Small Creditor Ability to Repay</w:t>
      </w:r>
    </w:p>
    <w:p w:rsidR="00EC6CDB" w:rsidRPr="00423041" w:rsidRDefault="00710767" w:rsidP="00EC6CDB">
      <w:pPr>
        <w:spacing w:after="0"/>
        <w:rPr>
          <w:rFonts w:cstheme="minorHAnsi"/>
          <w:b/>
          <w:sz w:val="24"/>
          <w:szCs w:val="24"/>
          <w:u w:val="single"/>
        </w:rPr>
      </w:pPr>
      <w:r>
        <w:rPr>
          <w:rFonts w:cstheme="minorHAnsi"/>
          <w:b/>
          <w:sz w:val="24"/>
          <w:szCs w:val="24"/>
          <w:u w:val="single"/>
        </w:rPr>
        <w:t>2017-5</w:t>
      </w:r>
    </w:p>
    <w:p w:rsidR="00EC6CDB" w:rsidRPr="00423041" w:rsidRDefault="00E33491" w:rsidP="00EC6CDB">
      <w:pPr>
        <w:spacing w:after="0"/>
        <w:rPr>
          <w:rFonts w:cstheme="minorHAnsi"/>
          <w:color w:val="FF0000"/>
          <w:sz w:val="24"/>
          <w:szCs w:val="24"/>
        </w:rPr>
      </w:pPr>
      <w:r w:rsidRPr="00423041">
        <w:rPr>
          <w:rFonts w:cstheme="minorHAnsi"/>
          <w:sz w:val="24"/>
          <w:szCs w:val="24"/>
        </w:rPr>
        <w:lastRenderedPageBreak/>
        <w:t xml:space="preserve">Similar to Policy 7350, this policy was also revised to comply with the annual changes made to the </w:t>
      </w:r>
      <w:hyperlink r:id="rId9" w:history="1">
        <w:r w:rsidRPr="00423041">
          <w:rPr>
            <w:rStyle w:val="Hyperlink"/>
            <w:rFonts w:cstheme="minorHAnsi"/>
            <w:sz w:val="24"/>
            <w:szCs w:val="24"/>
          </w:rPr>
          <w:t>points and fee threshold</w:t>
        </w:r>
      </w:hyperlink>
      <w:r w:rsidRPr="00423041">
        <w:rPr>
          <w:rStyle w:val="Hyperlink"/>
          <w:rFonts w:cstheme="minorHAnsi"/>
          <w:sz w:val="24"/>
          <w:szCs w:val="24"/>
        </w:rPr>
        <w:t>s</w:t>
      </w:r>
      <w:r w:rsidRPr="00423041">
        <w:rPr>
          <w:rFonts w:cstheme="minorHAnsi"/>
          <w:sz w:val="24"/>
          <w:szCs w:val="24"/>
        </w:rPr>
        <w:t xml:space="preserve"> based on the Consumer Price Index.</w:t>
      </w:r>
      <w:r w:rsidR="0087078F">
        <w:rPr>
          <w:rFonts w:cstheme="minorHAnsi"/>
          <w:sz w:val="24"/>
          <w:szCs w:val="24"/>
        </w:rPr>
        <w:t xml:space="preserve"> </w:t>
      </w:r>
      <w:r w:rsidR="00EC6CDB" w:rsidRPr="00423041">
        <w:rPr>
          <w:rFonts w:cstheme="minorHAnsi"/>
          <w:color w:val="FF0000"/>
          <w:sz w:val="24"/>
          <w:szCs w:val="24"/>
        </w:rPr>
        <w:t>(Required)</w:t>
      </w:r>
    </w:p>
    <w:p w:rsidR="00443125" w:rsidRPr="00423041" w:rsidRDefault="00443125" w:rsidP="00EC6CDB">
      <w:pPr>
        <w:spacing w:after="0"/>
        <w:rPr>
          <w:rFonts w:cstheme="minorHAnsi"/>
          <w:color w:val="FF0000"/>
          <w:sz w:val="24"/>
          <w:szCs w:val="24"/>
        </w:rPr>
      </w:pPr>
    </w:p>
    <w:p w:rsidR="00C63507" w:rsidRDefault="00C63507">
      <w:pPr>
        <w:rPr>
          <w:rFonts w:cstheme="minorHAnsi"/>
          <w:b/>
          <w:sz w:val="24"/>
          <w:szCs w:val="24"/>
          <w:u w:val="single"/>
        </w:rPr>
      </w:pPr>
      <w:r>
        <w:rPr>
          <w:rFonts w:cstheme="minorHAnsi"/>
          <w:b/>
          <w:sz w:val="24"/>
          <w:szCs w:val="24"/>
          <w:u w:val="single"/>
        </w:rPr>
        <w:br w:type="page"/>
      </w:r>
    </w:p>
    <w:p w:rsidR="00443125" w:rsidRPr="00423041" w:rsidRDefault="00443125" w:rsidP="00443125">
      <w:pPr>
        <w:spacing w:after="0"/>
        <w:rPr>
          <w:rFonts w:cstheme="minorHAnsi"/>
          <w:b/>
          <w:sz w:val="24"/>
          <w:szCs w:val="24"/>
          <w:u w:val="single"/>
        </w:rPr>
      </w:pPr>
      <w:r w:rsidRPr="00423041">
        <w:rPr>
          <w:rFonts w:cstheme="minorHAnsi"/>
          <w:b/>
          <w:sz w:val="24"/>
          <w:szCs w:val="24"/>
          <w:u w:val="single"/>
        </w:rPr>
        <w:lastRenderedPageBreak/>
        <w:t>Policy 7361 – Small Servicer Mortgage Servicing Rules</w:t>
      </w:r>
    </w:p>
    <w:p w:rsidR="00443125" w:rsidRPr="00423041" w:rsidRDefault="00710767" w:rsidP="00443125">
      <w:pPr>
        <w:spacing w:after="0"/>
        <w:rPr>
          <w:rFonts w:cstheme="minorHAnsi"/>
          <w:b/>
          <w:sz w:val="24"/>
          <w:szCs w:val="24"/>
          <w:u w:val="single"/>
        </w:rPr>
      </w:pPr>
      <w:r>
        <w:rPr>
          <w:rFonts w:cstheme="minorHAnsi"/>
          <w:b/>
          <w:sz w:val="24"/>
          <w:szCs w:val="24"/>
          <w:u w:val="single"/>
        </w:rPr>
        <w:t>2017-5</w:t>
      </w:r>
    </w:p>
    <w:p w:rsidR="00443125" w:rsidRPr="00423041" w:rsidRDefault="00443125" w:rsidP="00286197">
      <w:pPr>
        <w:spacing w:line="252" w:lineRule="auto"/>
        <w:rPr>
          <w:rFonts w:cstheme="minorHAnsi"/>
          <w:color w:val="FF0000"/>
          <w:sz w:val="24"/>
          <w:szCs w:val="24"/>
        </w:rPr>
      </w:pPr>
      <w:r w:rsidRPr="00423041">
        <w:rPr>
          <w:rFonts w:cstheme="minorHAnsi"/>
          <w:sz w:val="24"/>
          <w:szCs w:val="24"/>
        </w:rPr>
        <w:t xml:space="preserve">In our June 2017 updates to comply with the new mortgage servicing rules, Section 5 related to the “Mortgage Servicing Transfer Notice” was removed.  However, this section </w:t>
      </w:r>
      <w:r w:rsidRPr="00423041">
        <w:rPr>
          <w:rFonts w:cstheme="minorHAnsi"/>
          <w:b/>
          <w:bCs/>
          <w:sz w:val="24"/>
          <w:szCs w:val="24"/>
        </w:rPr>
        <w:t xml:space="preserve">would be </w:t>
      </w:r>
      <w:r w:rsidRPr="00423041">
        <w:rPr>
          <w:rFonts w:cstheme="minorHAnsi"/>
          <w:sz w:val="24"/>
          <w:szCs w:val="24"/>
        </w:rPr>
        <w:t xml:space="preserve">applicable to Small Servicers </w:t>
      </w:r>
      <w:r w:rsidRPr="00423041">
        <w:rPr>
          <w:rFonts w:cstheme="minorHAnsi"/>
          <w:b/>
          <w:bCs/>
          <w:sz w:val="24"/>
          <w:szCs w:val="24"/>
        </w:rPr>
        <w:t>only</w:t>
      </w:r>
      <w:r w:rsidRPr="00423041">
        <w:rPr>
          <w:rFonts w:cstheme="minorHAnsi"/>
          <w:sz w:val="24"/>
          <w:szCs w:val="24"/>
        </w:rPr>
        <w:t xml:space="preserve"> if they acquire ownership of a mortgage loan and subsequent servicing rights of an affiliate.  Therefore, we have added this section back in to the model policy.  </w:t>
      </w:r>
      <w:r w:rsidR="00286197">
        <w:rPr>
          <w:rFonts w:cstheme="minorHAnsi"/>
          <w:sz w:val="24"/>
          <w:szCs w:val="24"/>
        </w:rPr>
        <w:t xml:space="preserve">Note: This policy was updated in the Model Policies between updates, on October 25, 2017.  </w:t>
      </w:r>
      <w:r w:rsidRPr="00423041">
        <w:rPr>
          <w:rFonts w:cstheme="minorHAnsi"/>
          <w:color w:val="FF0000"/>
          <w:sz w:val="24"/>
          <w:szCs w:val="24"/>
        </w:rPr>
        <w:t>(Required if conducted)</w:t>
      </w:r>
    </w:p>
    <w:p w:rsidR="00443125" w:rsidRPr="00423041" w:rsidRDefault="00443125" w:rsidP="00EC6CDB">
      <w:pPr>
        <w:spacing w:after="0"/>
        <w:rPr>
          <w:rFonts w:cstheme="minorHAnsi"/>
          <w:color w:val="FF0000"/>
          <w:sz w:val="24"/>
          <w:szCs w:val="24"/>
        </w:rPr>
      </w:pPr>
    </w:p>
    <w:p w:rsidR="00207BD1" w:rsidRPr="00423041" w:rsidRDefault="00207BD1" w:rsidP="00CB7D30">
      <w:pPr>
        <w:spacing w:after="0" w:line="240" w:lineRule="auto"/>
        <w:rPr>
          <w:rFonts w:cstheme="minorHAnsi"/>
          <w:b/>
          <w:sz w:val="24"/>
          <w:szCs w:val="24"/>
          <w:u w:val="single"/>
        </w:rPr>
      </w:pPr>
      <w:r w:rsidRPr="00423041">
        <w:rPr>
          <w:rFonts w:cstheme="minorHAnsi"/>
          <w:b/>
          <w:sz w:val="24"/>
          <w:szCs w:val="24"/>
          <w:u w:val="single"/>
        </w:rPr>
        <w:t>Policy 7370 – HOEPA Rule Requirement</w:t>
      </w:r>
    </w:p>
    <w:p w:rsidR="00207BD1" w:rsidRPr="00423041" w:rsidRDefault="00710767" w:rsidP="00CB7D30">
      <w:pPr>
        <w:spacing w:after="0" w:line="240" w:lineRule="auto"/>
        <w:rPr>
          <w:rFonts w:cstheme="minorHAnsi"/>
          <w:b/>
          <w:sz w:val="24"/>
          <w:szCs w:val="24"/>
          <w:u w:val="single"/>
        </w:rPr>
      </w:pPr>
      <w:r>
        <w:rPr>
          <w:rFonts w:cstheme="minorHAnsi"/>
          <w:b/>
          <w:sz w:val="24"/>
          <w:szCs w:val="24"/>
          <w:u w:val="single"/>
        </w:rPr>
        <w:t>2017-5</w:t>
      </w:r>
    </w:p>
    <w:p w:rsidR="00CB7D30" w:rsidRPr="00423041" w:rsidRDefault="00CB7D30" w:rsidP="0087078F">
      <w:pPr>
        <w:spacing w:after="0" w:line="240" w:lineRule="auto"/>
        <w:rPr>
          <w:rFonts w:cstheme="minorHAnsi"/>
          <w:color w:val="FF0000"/>
          <w:sz w:val="24"/>
          <w:szCs w:val="24"/>
        </w:rPr>
      </w:pPr>
      <w:r w:rsidRPr="00423041">
        <w:rPr>
          <w:rFonts w:cstheme="minorHAnsi"/>
          <w:sz w:val="24"/>
          <w:szCs w:val="24"/>
        </w:rPr>
        <w:t xml:space="preserve">The </w:t>
      </w:r>
      <w:hyperlink r:id="rId10" w:history="1">
        <w:r w:rsidRPr="00423041">
          <w:rPr>
            <w:rStyle w:val="Hyperlink"/>
            <w:rFonts w:cstheme="minorHAnsi"/>
            <w:sz w:val="24"/>
            <w:szCs w:val="24"/>
          </w:rPr>
          <w:t>thresholds for determining if a loan is covered under HOEPA</w:t>
        </w:r>
      </w:hyperlink>
      <w:r w:rsidRPr="00423041">
        <w:rPr>
          <w:rFonts w:cstheme="minorHAnsi"/>
          <w:sz w:val="24"/>
          <w:szCs w:val="24"/>
        </w:rPr>
        <w:t xml:space="preserve"> w</w:t>
      </w:r>
      <w:r w:rsidR="00E33491" w:rsidRPr="00423041">
        <w:rPr>
          <w:rFonts w:cstheme="minorHAnsi"/>
          <w:sz w:val="24"/>
          <w:szCs w:val="24"/>
        </w:rPr>
        <w:t>ere also adjusted for January 1, 201</w:t>
      </w:r>
      <w:r w:rsidR="0008184B" w:rsidRPr="00423041">
        <w:rPr>
          <w:rFonts w:cstheme="minorHAnsi"/>
          <w:sz w:val="24"/>
          <w:szCs w:val="24"/>
        </w:rPr>
        <w:t>8</w:t>
      </w:r>
      <w:r w:rsidR="00E33491" w:rsidRPr="00423041">
        <w:rPr>
          <w:rFonts w:cstheme="minorHAnsi"/>
          <w:sz w:val="24"/>
          <w:szCs w:val="24"/>
        </w:rPr>
        <w:t xml:space="preserve"> and these amounts were updated in the policy accordingly. </w:t>
      </w:r>
      <w:r w:rsidRPr="00423041">
        <w:rPr>
          <w:rFonts w:cstheme="minorHAnsi"/>
          <w:color w:val="FF0000"/>
          <w:sz w:val="24"/>
          <w:szCs w:val="24"/>
        </w:rPr>
        <w:t>(Required)</w:t>
      </w:r>
    </w:p>
    <w:p w:rsidR="00D2065B" w:rsidRPr="00423041" w:rsidRDefault="00D2065B" w:rsidP="00D92AE7">
      <w:pPr>
        <w:pStyle w:val="Default"/>
        <w:rPr>
          <w:rFonts w:asciiTheme="minorHAnsi" w:hAnsiTheme="minorHAnsi" w:cstheme="minorHAnsi"/>
          <w:color w:val="auto"/>
        </w:rPr>
      </w:pPr>
    </w:p>
    <w:p w:rsidR="00EB73E0" w:rsidRPr="00423041" w:rsidRDefault="00EB73E0" w:rsidP="00CB7D30">
      <w:pPr>
        <w:spacing w:after="0" w:line="240" w:lineRule="auto"/>
        <w:rPr>
          <w:rFonts w:cstheme="minorHAnsi"/>
          <w:b/>
          <w:sz w:val="24"/>
          <w:szCs w:val="24"/>
          <w:u w:val="single"/>
        </w:rPr>
      </w:pPr>
      <w:r w:rsidRPr="00423041">
        <w:rPr>
          <w:rFonts w:cstheme="minorHAnsi"/>
          <w:b/>
          <w:sz w:val="24"/>
          <w:szCs w:val="24"/>
          <w:u w:val="single"/>
        </w:rPr>
        <w:t>Policy 9200 – Home Mortgage Disclosure Act – Regulation C</w:t>
      </w:r>
    </w:p>
    <w:p w:rsidR="00EB73E0" w:rsidRPr="00423041" w:rsidRDefault="00710767" w:rsidP="00CB7D30">
      <w:pPr>
        <w:spacing w:after="0" w:line="240" w:lineRule="auto"/>
        <w:rPr>
          <w:rFonts w:cstheme="minorHAnsi"/>
          <w:b/>
          <w:sz w:val="24"/>
          <w:szCs w:val="24"/>
          <w:u w:val="single"/>
        </w:rPr>
      </w:pPr>
      <w:r>
        <w:rPr>
          <w:rFonts w:cstheme="minorHAnsi"/>
          <w:b/>
          <w:sz w:val="24"/>
          <w:szCs w:val="24"/>
          <w:u w:val="single"/>
        </w:rPr>
        <w:t>2017-5</w:t>
      </w:r>
    </w:p>
    <w:p w:rsidR="004E1A32" w:rsidRPr="00423041" w:rsidRDefault="004E1A32" w:rsidP="004E1A32">
      <w:pPr>
        <w:spacing w:after="0"/>
        <w:rPr>
          <w:rFonts w:cstheme="minorHAnsi"/>
          <w:sz w:val="24"/>
          <w:szCs w:val="24"/>
        </w:rPr>
      </w:pPr>
      <w:r w:rsidRPr="00423041">
        <w:rPr>
          <w:rFonts w:cstheme="minorHAnsi"/>
          <w:sz w:val="24"/>
          <w:szCs w:val="24"/>
        </w:rPr>
        <w:t xml:space="preserve">Policy 9200 was significantly revised in our last update to comply with the </w:t>
      </w:r>
      <w:hyperlink r:id="rId11" w:history="1">
        <w:r w:rsidRPr="00423041">
          <w:rPr>
            <w:rStyle w:val="Hyperlink"/>
            <w:rFonts w:cstheme="minorHAnsi"/>
            <w:sz w:val="24"/>
            <w:szCs w:val="24"/>
          </w:rPr>
          <w:t>HMDA changes</w:t>
        </w:r>
      </w:hyperlink>
      <w:r w:rsidRPr="00423041">
        <w:rPr>
          <w:rFonts w:cstheme="minorHAnsi"/>
          <w:sz w:val="24"/>
          <w:szCs w:val="24"/>
        </w:rPr>
        <w:t xml:space="preserve"> that are scheduled to become effective on January 1, 2018.  The revisions in this update are based on feedback to incorporate additional definitions for MSA and MDs and to make one correction in section 10 (A).</w:t>
      </w:r>
    </w:p>
    <w:p w:rsidR="004E1A32" w:rsidRPr="00423041" w:rsidRDefault="004E1A32" w:rsidP="00CB7D30">
      <w:pPr>
        <w:spacing w:after="0" w:line="240" w:lineRule="auto"/>
        <w:rPr>
          <w:rFonts w:cstheme="minorHAnsi"/>
          <w:sz w:val="24"/>
          <w:szCs w:val="24"/>
        </w:rPr>
      </w:pPr>
    </w:p>
    <w:p w:rsidR="00C14330" w:rsidRPr="00423041" w:rsidRDefault="00170145" w:rsidP="00CB7D30">
      <w:pPr>
        <w:spacing w:after="0" w:line="240" w:lineRule="auto"/>
        <w:rPr>
          <w:rFonts w:cstheme="minorHAnsi"/>
          <w:color w:val="FF0000"/>
          <w:sz w:val="24"/>
          <w:szCs w:val="24"/>
        </w:rPr>
      </w:pPr>
      <w:r w:rsidRPr="00423041">
        <w:rPr>
          <w:rFonts w:cstheme="minorHAnsi"/>
          <w:sz w:val="24"/>
          <w:szCs w:val="24"/>
        </w:rPr>
        <w:t xml:space="preserve">The asset size threshold for coverage has not </w:t>
      </w:r>
      <w:r w:rsidR="001A7BA8" w:rsidRPr="00423041">
        <w:rPr>
          <w:rFonts w:cstheme="minorHAnsi"/>
          <w:sz w:val="24"/>
          <w:szCs w:val="24"/>
        </w:rPr>
        <w:t>yet been published for 2018.  Credit unions are encouraged to watch for that publication from the CFPB and update their policy accordingly.  We will issue a revised policy in our next quarterly update.</w:t>
      </w:r>
      <w:r w:rsidR="0087078F">
        <w:rPr>
          <w:rFonts w:cstheme="minorHAnsi"/>
          <w:sz w:val="24"/>
          <w:szCs w:val="24"/>
        </w:rPr>
        <w:t xml:space="preserve"> </w:t>
      </w:r>
      <w:r w:rsidR="00C14330" w:rsidRPr="00423041">
        <w:rPr>
          <w:rFonts w:cstheme="minorHAnsi"/>
          <w:color w:val="FF0000"/>
          <w:sz w:val="24"/>
          <w:szCs w:val="24"/>
        </w:rPr>
        <w:t>(Re</w:t>
      </w:r>
      <w:r w:rsidR="001A7BA8" w:rsidRPr="00423041">
        <w:rPr>
          <w:rFonts w:cstheme="minorHAnsi"/>
          <w:color w:val="FF0000"/>
          <w:sz w:val="24"/>
          <w:szCs w:val="24"/>
        </w:rPr>
        <w:t>commended</w:t>
      </w:r>
      <w:r w:rsidR="00C14330" w:rsidRPr="00423041">
        <w:rPr>
          <w:rFonts w:cstheme="minorHAnsi"/>
          <w:color w:val="FF0000"/>
          <w:sz w:val="24"/>
          <w:szCs w:val="24"/>
        </w:rPr>
        <w:t>)</w:t>
      </w:r>
    </w:p>
    <w:p w:rsidR="00C14330" w:rsidRPr="00423041" w:rsidRDefault="00C14330" w:rsidP="00CB7D30">
      <w:pPr>
        <w:spacing w:after="0" w:line="240" w:lineRule="auto"/>
        <w:rPr>
          <w:rFonts w:cstheme="minorHAnsi"/>
          <w:b/>
          <w:sz w:val="24"/>
          <w:szCs w:val="24"/>
          <w:u w:val="single"/>
        </w:rPr>
      </w:pPr>
    </w:p>
    <w:p w:rsidR="00CB7D30" w:rsidRPr="00423041" w:rsidRDefault="00CB7D30" w:rsidP="00CB7D30">
      <w:pPr>
        <w:spacing w:after="0" w:line="240" w:lineRule="auto"/>
        <w:rPr>
          <w:rFonts w:cstheme="minorHAnsi"/>
          <w:b/>
          <w:sz w:val="24"/>
          <w:szCs w:val="24"/>
          <w:u w:val="single"/>
        </w:rPr>
      </w:pPr>
      <w:r w:rsidRPr="00423041">
        <w:rPr>
          <w:rFonts w:cstheme="minorHAnsi"/>
          <w:b/>
          <w:sz w:val="24"/>
          <w:szCs w:val="24"/>
          <w:u w:val="single"/>
        </w:rPr>
        <w:t>Policy 9220 – Home Ownership and Equity Protection Act</w:t>
      </w:r>
    </w:p>
    <w:p w:rsidR="00CB7D30" w:rsidRPr="00423041" w:rsidRDefault="00710767" w:rsidP="00CB7D30">
      <w:pPr>
        <w:spacing w:after="0" w:line="240" w:lineRule="auto"/>
        <w:rPr>
          <w:rFonts w:cstheme="minorHAnsi"/>
          <w:b/>
          <w:sz w:val="24"/>
          <w:szCs w:val="24"/>
          <w:u w:val="single"/>
        </w:rPr>
      </w:pPr>
      <w:r>
        <w:rPr>
          <w:rFonts w:cstheme="minorHAnsi"/>
          <w:b/>
          <w:sz w:val="24"/>
          <w:szCs w:val="24"/>
          <w:u w:val="single"/>
        </w:rPr>
        <w:t>2017-5</w:t>
      </w:r>
    </w:p>
    <w:p w:rsidR="00CB7D30" w:rsidRPr="00423041" w:rsidRDefault="00E33491" w:rsidP="0087078F">
      <w:pPr>
        <w:spacing w:after="0" w:line="240" w:lineRule="auto"/>
        <w:rPr>
          <w:rFonts w:cstheme="minorHAnsi"/>
          <w:color w:val="FF0000"/>
          <w:sz w:val="24"/>
          <w:szCs w:val="24"/>
        </w:rPr>
      </w:pPr>
      <w:r w:rsidRPr="00423041">
        <w:rPr>
          <w:rFonts w:cstheme="minorHAnsi"/>
          <w:sz w:val="24"/>
          <w:szCs w:val="24"/>
        </w:rPr>
        <w:t>Similar to the changes made to Policy 7370, this policy was also revised to adjust the</w:t>
      </w:r>
      <w:r w:rsidR="00CB7D30" w:rsidRPr="00423041">
        <w:rPr>
          <w:rFonts w:cstheme="minorHAnsi"/>
          <w:sz w:val="24"/>
          <w:szCs w:val="24"/>
        </w:rPr>
        <w:t xml:space="preserve"> </w:t>
      </w:r>
      <w:hyperlink r:id="rId12" w:history="1">
        <w:r w:rsidR="00CB7D30" w:rsidRPr="00423041">
          <w:rPr>
            <w:rStyle w:val="Hyperlink"/>
            <w:rFonts w:cstheme="minorHAnsi"/>
            <w:sz w:val="24"/>
            <w:szCs w:val="24"/>
          </w:rPr>
          <w:t>thresholds for determining if a loan is covered under HOEPA</w:t>
        </w:r>
      </w:hyperlink>
      <w:r w:rsidR="0008184B" w:rsidRPr="00423041">
        <w:rPr>
          <w:rFonts w:cstheme="minorHAnsi"/>
          <w:sz w:val="24"/>
          <w:szCs w:val="24"/>
        </w:rPr>
        <w:t>, effective January 1, 2018</w:t>
      </w:r>
      <w:r w:rsidRPr="00423041">
        <w:rPr>
          <w:rFonts w:cstheme="minorHAnsi"/>
          <w:sz w:val="24"/>
          <w:szCs w:val="24"/>
        </w:rPr>
        <w:t>.</w:t>
      </w:r>
      <w:r w:rsidR="0087078F">
        <w:rPr>
          <w:rFonts w:cstheme="minorHAnsi"/>
          <w:sz w:val="24"/>
          <w:szCs w:val="24"/>
        </w:rPr>
        <w:t xml:space="preserve"> </w:t>
      </w:r>
      <w:r w:rsidR="00CB7D30" w:rsidRPr="00423041">
        <w:rPr>
          <w:rFonts w:cstheme="minorHAnsi"/>
          <w:color w:val="FF0000"/>
          <w:sz w:val="24"/>
          <w:szCs w:val="24"/>
        </w:rPr>
        <w:t>(Required)</w:t>
      </w:r>
    </w:p>
    <w:p w:rsidR="00EC6CDB" w:rsidRPr="00423041" w:rsidRDefault="00EC6CDB" w:rsidP="00CB7D30">
      <w:pPr>
        <w:spacing w:after="0"/>
        <w:rPr>
          <w:rFonts w:cstheme="minorHAnsi"/>
          <w:color w:val="FF0000"/>
          <w:sz w:val="24"/>
          <w:szCs w:val="24"/>
        </w:rPr>
      </w:pPr>
    </w:p>
    <w:p w:rsidR="003C6421" w:rsidRPr="00423041" w:rsidRDefault="003C6421" w:rsidP="003C6421">
      <w:pPr>
        <w:pStyle w:val="Default"/>
        <w:rPr>
          <w:rFonts w:asciiTheme="minorHAnsi" w:hAnsiTheme="minorHAnsi" w:cstheme="minorHAnsi"/>
          <w:b/>
          <w:color w:val="auto"/>
          <w:u w:val="single"/>
        </w:rPr>
      </w:pPr>
      <w:r w:rsidRPr="00423041">
        <w:rPr>
          <w:rFonts w:asciiTheme="minorHAnsi" w:hAnsiTheme="minorHAnsi" w:cstheme="minorHAnsi"/>
          <w:b/>
          <w:color w:val="auto"/>
          <w:u w:val="single"/>
        </w:rPr>
        <w:t>Policy 9420 – Monetary Control Act – Regulation D</w:t>
      </w:r>
    </w:p>
    <w:p w:rsidR="003C6421" w:rsidRPr="00423041" w:rsidRDefault="00710767" w:rsidP="003C6421">
      <w:pPr>
        <w:pStyle w:val="Default"/>
        <w:rPr>
          <w:rFonts w:asciiTheme="minorHAnsi" w:hAnsiTheme="minorHAnsi" w:cstheme="minorHAnsi"/>
          <w:b/>
          <w:color w:val="auto"/>
          <w:u w:val="single"/>
        </w:rPr>
      </w:pPr>
      <w:r>
        <w:rPr>
          <w:rFonts w:asciiTheme="minorHAnsi" w:hAnsiTheme="minorHAnsi" w:cstheme="minorHAnsi"/>
          <w:b/>
          <w:color w:val="auto"/>
          <w:u w:val="single"/>
        </w:rPr>
        <w:t>2017-5</w:t>
      </w:r>
    </w:p>
    <w:p w:rsidR="003C6421" w:rsidRPr="00423041" w:rsidRDefault="003C6421" w:rsidP="0087078F">
      <w:pPr>
        <w:pStyle w:val="Default"/>
        <w:rPr>
          <w:rFonts w:cstheme="minorHAnsi"/>
          <w:color w:val="FF0000"/>
        </w:rPr>
      </w:pPr>
      <w:r w:rsidRPr="00423041">
        <w:rPr>
          <w:rFonts w:asciiTheme="minorHAnsi" w:hAnsiTheme="minorHAnsi" w:cstheme="minorHAnsi"/>
          <w:color w:val="auto"/>
        </w:rPr>
        <w:t xml:space="preserve">Thresholds are changed annually to reflect the </w:t>
      </w:r>
      <w:hyperlink r:id="rId13" w:history="1">
        <w:r w:rsidRPr="00423041">
          <w:rPr>
            <w:rStyle w:val="Hyperlink"/>
            <w:rFonts w:asciiTheme="minorHAnsi" w:hAnsiTheme="minorHAnsi" w:cstheme="minorHAnsi"/>
          </w:rPr>
          <w:t>annual indexing of the reserve requirement</w:t>
        </w:r>
      </w:hyperlink>
      <w:r w:rsidRPr="00423041">
        <w:rPr>
          <w:rFonts w:asciiTheme="minorHAnsi" w:hAnsiTheme="minorHAnsi" w:cstheme="minorHAnsi"/>
          <w:color w:val="auto"/>
        </w:rPr>
        <w:t xml:space="preserve"> exemption amount.  The policy has been revised to reflect those changes within the policy and </w:t>
      </w:r>
      <w:r w:rsidR="001A7BA8" w:rsidRPr="00423041">
        <w:rPr>
          <w:rFonts w:asciiTheme="minorHAnsi" w:hAnsiTheme="minorHAnsi" w:cstheme="minorHAnsi"/>
          <w:color w:val="auto"/>
        </w:rPr>
        <w:t xml:space="preserve">are </w:t>
      </w:r>
      <w:r w:rsidRPr="00423041">
        <w:rPr>
          <w:rFonts w:asciiTheme="minorHAnsi" w:hAnsiTheme="minorHAnsi" w:cstheme="minorHAnsi"/>
          <w:color w:val="auto"/>
        </w:rPr>
        <w:t>eff</w:t>
      </w:r>
      <w:r w:rsidR="001A7BA8" w:rsidRPr="00423041">
        <w:rPr>
          <w:rFonts w:asciiTheme="minorHAnsi" w:hAnsiTheme="minorHAnsi" w:cstheme="minorHAnsi"/>
          <w:color w:val="auto"/>
        </w:rPr>
        <w:t>ective for 2018</w:t>
      </w:r>
      <w:r w:rsidRPr="00423041">
        <w:rPr>
          <w:rFonts w:asciiTheme="minorHAnsi" w:hAnsiTheme="minorHAnsi" w:cstheme="minorHAnsi"/>
          <w:color w:val="auto"/>
        </w:rPr>
        <w:t>.</w:t>
      </w:r>
      <w:r w:rsidR="0087078F">
        <w:rPr>
          <w:rFonts w:asciiTheme="minorHAnsi" w:hAnsiTheme="minorHAnsi" w:cstheme="minorHAnsi"/>
          <w:color w:val="auto"/>
        </w:rPr>
        <w:t xml:space="preserve"> </w:t>
      </w:r>
      <w:r w:rsidRPr="00423041">
        <w:rPr>
          <w:rFonts w:cstheme="minorHAnsi"/>
          <w:color w:val="FF0000"/>
        </w:rPr>
        <w:t>(Required)</w:t>
      </w:r>
    </w:p>
    <w:p w:rsidR="003C6421" w:rsidRPr="00423041" w:rsidRDefault="003C6421" w:rsidP="00846D68">
      <w:pPr>
        <w:pStyle w:val="Default"/>
        <w:rPr>
          <w:rFonts w:asciiTheme="minorHAnsi" w:hAnsiTheme="minorHAnsi" w:cstheme="minorHAnsi"/>
          <w:color w:val="FF0000"/>
        </w:rPr>
      </w:pPr>
    </w:p>
    <w:p w:rsidR="00270048" w:rsidRPr="00423041" w:rsidRDefault="00270048" w:rsidP="00270048">
      <w:pPr>
        <w:spacing w:after="0"/>
        <w:rPr>
          <w:rFonts w:cstheme="minorHAnsi"/>
          <w:b/>
          <w:sz w:val="24"/>
          <w:szCs w:val="24"/>
          <w:u w:val="single"/>
        </w:rPr>
      </w:pPr>
      <w:r w:rsidRPr="00423041">
        <w:rPr>
          <w:rFonts w:cstheme="minorHAnsi"/>
          <w:b/>
          <w:sz w:val="24"/>
          <w:szCs w:val="24"/>
          <w:u w:val="single"/>
        </w:rPr>
        <w:t>Policy 10006 – Insurance &amp; Bond Records</w:t>
      </w:r>
    </w:p>
    <w:p w:rsidR="00270048" w:rsidRPr="00423041" w:rsidRDefault="00710767" w:rsidP="00270048">
      <w:pPr>
        <w:spacing w:after="0"/>
        <w:rPr>
          <w:rFonts w:cstheme="minorHAnsi"/>
          <w:b/>
          <w:sz w:val="24"/>
          <w:szCs w:val="24"/>
          <w:u w:val="single"/>
        </w:rPr>
      </w:pPr>
      <w:r>
        <w:rPr>
          <w:rFonts w:cstheme="minorHAnsi"/>
          <w:b/>
          <w:sz w:val="24"/>
          <w:szCs w:val="24"/>
          <w:u w:val="single"/>
        </w:rPr>
        <w:t>2017-5</w:t>
      </w:r>
    </w:p>
    <w:p w:rsidR="00270048" w:rsidRPr="00423041" w:rsidRDefault="00270048" w:rsidP="00270048">
      <w:pPr>
        <w:spacing w:after="0"/>
        <w:rPr>
          <w:rFonts w:cstheme="minorHAnsi"/>
          <w:color w:val="FF0000"/>
          <w:sz w:val="24"/>
          <w:szCs w:val="24"/>
        </w:rPr>
      </w:pPr>
      <w:r w:rsidRPr="00423041">
        <w:rPr>
          <w:rFonts w:cstheme="minorHAnsi"/>
          <w:sz w:val="24"/>
          <w:szCs w:val="24"/>
        </w:rPr>
        <w:t>This policy was revised to add clarification on the permanent retention of credit union insurance policies as outlined with Part 749 of the NCUA rules.</w:t>
      </w:r>
      <w:r w:rsidR="0087078F">
        <w:rPr>
          <w:rFonts w:cstheme="minorHAnsi"/>
          <w:sz w:val="24"/>
          <w:szCs w:val="24"/>
        </w:rPr>
        <w:t xml:space="preserve"> </w:t>
      </w:r>
      <w:r w:rsidRPr="00423041">
        <w:rPr>
          <w:rFonts w:cstheme="minorHAnsi"/>
          <w:color w:val="FF0000"/>
          <w:sz w:val="24"/>
          <w:szCs w:val="24"/>
        </w:rPr>
        <w:t>(Recommended)</w:t>
      </w:r>
    </w:p>
    <w:p w:rsidR="00270048" w:rsidRPr="00423041" w:rsidRDefault="00270048" w:rsidP="00747C08">
      <w:pPr>
        <w:spacing w:after="0"/>
        <w:rPr>
          <w:rFonts w:cstheme="minorHAnsi"/>
          <w:b/>
          <w:sz w:val="24"/>
          <w:szCs w:val="24"/>
          <w:u w:val="single"/>
        </w:rPr>
      </w:pPr>
    </w:p>
    <w:p w:rsidR="00747C08" w:rsidRPr="00423041" w:rsidRDefault="00747C08" w:rsidP="00747C08">
      <w:pPr>
        <w:spacing w:after="0"/>
        <w:rPr>
          <w:rFonts w:cstheme="minorHAnsi"/>
          <w:b/>
          <w:sz w:val="24"/>
          <w:szCs w:val="24"/>
          <w:u w:val="single"/>
        </w:rPr>
      </w:pPr>
      <w:r w:rsidRPr="00423041">
        <w:rPr>
          <w:rFonts w:cstheme="minorHAnsi"/>
          <w:b/>
          <w:sz w:val="24"/>
          <w:szCs w:val="24"/>
          <w:u w:val="single"/>
        </w:rPr>
        <w:lastRenderedPageBreak/>
        <w:t>Policy 10009 – Personnel &amp; Employment Records</w:t>
      </w:r>
    </w:p>
    <w:p w:rsidR="00747C08" w:rsidRPr="00423041" w:rsidRDefault="00710767" w:rsidP="00747C08">
      <w:pPr>
        <w:spacing w:after="0"/>
        <w:rPr>
          <w:rFonts w:cstheme="minorHAnsi"/>
          <w:b/>
          <w:sz w:val="24"/>
          <w:szCs w:val="24"/>
          <w:u w:val="single"/>
        </w:rPr>
      </w:pPr>
      <w:r>
        <w:rPr>
          <w:rFonts w:cstheme="minorHAnsi"/>
          <w:b/>
          <w:sz w:val="24"/>
          <w:szCs w:val="24"/>
          <w:u w:val="single"/>
        </w:rPr>
        <w:t>2017-5</w:t>
      </w:r>
    </w:p>
    <w:p w:rsidR="00747C08" w:rsidRPr="00423041" w:rsidRDefault="00747C08" w:rsidP="00747C08">
      <w:pPr>
        <w:spacing w:after="0"/>
        <w:rPr>
          <w:rFonts w:cstheme="minorHAnsi"/>
          <w:color w:val="FF0000"/>
          <w:sz w:val="24"/>
          <w:szCs w:val="24"/>
        </w:rPr>
      </w:pPr>
      <w:r w:rsidRPr="00423041">
        <w:rPr>
          <w:rFonts w:cstheme="minorHAnsi"/>
          <w:sz w:val="24"/>
          <w:szCs w:val="24"/>
        </w:rPr>
        <w:t xml:space="preserve">This policy was revised to comply with the 3 year record retention requirement </w:t>
      </w:r>
      <w:r w:rsidR="007703A5" w:rsidRPr="00423041">
        <w:rPr>
          <w:rFonts w:cstheme="minorHAnsi"/>
          <w:sz w:val="24"/>
          <w:szCs w:val="24"/>
        </w:rPr>
        <w:t>within</w:t>
      </w:r>
      <w:r w:rsidRPr="00423041">
        <w:rPr>
          <w:rFonts w:cstheme="minorHAnsi"/>
          <w:sz w:val="24"/>
          <w:szCs w:val="24"/>
        </w:rPr>
        <w:t xml:space="preserve"> the </w:t>
      </w:r>
      <w:hyperlink r:id="rId14" w:history="1">
        <w:r w:rsidRPr="00423041">
          <w:rPr>
            <w:rStyle w:val="Hyperlink"/>
            <w:rFonts w:cstheme="minorHAnsi"/>
            <w:sz w:val="24"/>
            <w:szCs w:val="24"/>
          </w:rPr>
          <w:t>Fair Labor Standards Act</w:t>
        </w:r>
      </w:hyperlink>
      <w:r w:rsidRPr="00423041">
        <w:rPr>
          <w:rFonts w:cstheme="minorHAnsi"/>
          <w:sz w:val="24"/>
          <w:szCs w:val="24"/>
        </w:rPr>
        <w:t xml:space="preserve"> </w:t>
      </w:r>
      <w:r w:rsidR="007703A5" w:rsidRPr="00423041">
        <w:rPr>
          <w:rFonts w:cstheme="minorHAnsi"/>
          <w:sz w:val="24"/>
          <w:szCs w:val="24"/>
        </w:rPr>
        <w:t>for earning records and time records</w:t>
      </w:r>
      <w:r w:rsidRPr="00423041">
        <w:rPr>
          <w:rFonts w:cstheme="minorHAnsi"/>
          <w:sz w:val="24"/>
          <w:szCs w:val="24"/>
        </w:rPr>
        <w:t>.</w:t>
      </w:r>
      <w:r w:rsidR="0087078F">
        <w:rPr>
          <w:rFonts w:cstheme="minorHAnsi"/>
          <w:sz w:val="24"/>
          <w:szCs w:val="24"/>
        </w:rPr>
        <w:t xml:space="preserve"> </w:t>
      </w:r>
      <w:r w:rsidRPr="00423041">
        <w:rPr>
          <w:rFonts w:cstheme="minorHAnsi"/>
          <w:color w:val="FF0000"/>
          <w:sz w:val="24"/>
          <w:szCs w:val="24"/>
        </w:rPr>
        <w:t>(Re</w:t>
      </w:r>
      <w:r w:rsidR="007703A5" w:rsidRPr="00423041">
        <w:rPr>
          <w:rFonts w:cstheme="minorHAnsi"/>
          <w:color w:val="FF0000"/>
          <w:sz w:val="24"/>
          <w:szCs w:val="24"/>
        </w:rPr>
        <w:t>commended</w:t>
      </w:r>
      <w:r w:rsidRPr="00423041">
        <w:rPr>
          <w:rFonts w:cstheme="minorHAnsi"/>
          <w:color w:val="FF0000"/>
          <w:sz w:val="24"/>
          <w:szCs w:val="24"/>
        </w:rPr>
        <w:t>)</w:t>
      </w:r>
    </w:p>
    <w:p w:rsidR="00747C08" w:rsidRPr="00423041" w:rsidRDefault="00747C08" w:rsidP="00846D68">
      <w:pPr>
        <w:pStyle w:val="Default"/>
        <w:rPr>
          <w:rFonts w:asciiTheme="minorHAnsi" w:hAnsiTheme="minorHAnsi" w:cstheme="minorHAnsi"/>
          <w:color w:val="FF0000"/>
        </w:rPr>
      </w:pPr>
    </w:p>
    <w:p w:rsidR="00D5526E" w:rsidRPr="00423041" w:rsidRDefault="00D5526E" w:rsidP="00D5526E">
      <w:pPr>
        <w:spacing w:after="0"/>
        <w:rPr>
          <w:rFonts w:cstheme="minorHAnsi"/>
          <w:b/>
          <w:sz w:val="24"/>
          <w:szCs w:val="24"/>
          <w:u w:val="single"/>
        </w:rPr>
      </w:pPr>
      <w:r w:rsidRPr="00423041">
        <w:rPr>
          <w:rFonts w:cstheme="minorHAnsi"/>
          <w:b/>
          <w:sz w:val="24"/>
          <w:szCs w:val="24"/>
          <w:u w:val="single"/>
        </w:rPr>
        <w:t>Policy 11016 – Affiliate Marketing Rules</w:t>
      </w:r>
    </w:p>
    <w:p w:rsidR="00D5526E" w:rsidRPr="00423041" w:rsidRDefault="00710767" w:rsidP="00D5526E">
      <w:pPr>
        <w:spacing w:after="0"/>
        <w:rPr>
          <w:rFonts w:cstheme="minorHAnsi"/>
          <w:b/>
          <w:sz w:val="24"/>
          <w:szCs w:val="24"/>
          <w:u w:val="single"/>
        </w:rPr>
      </w:pPr>
      <w:r>
        <w:rPr>
          <w:rFonts w:cstheme="minorHAnsi"/>
          <w:b/>
          <w:sz w:val="24"/>
          <w:szCs w:val="24"/>
          <w:u w:val="single"/>
        </w:rPr>
        <w:t>2017-5</w:t>
      </w:r>
    </w:p>
    <w:p w:rsidR="00D5526E" w:rsidRPr="00423041" w:rsidRDefault="00D5526E" w:rsidP="00D5526E">
      <w:pPr>
        <w:spacing w:after="0"/>
        <w:rPr>
          <w:rFonts w:cstheme="minorHAnsi"/>
          <w:color w:val="FF0000"/>
          <w:sz w:val="24"/>
          <w:szCs w:val="24"/>
        </w:rPr>
      </w:pPr>
      <w:r w:rsidRPr="00423041">
        <w:rPr>
          <w:rFonts w:cstheme="minorHAnsi"/>
          <w:sz w:val="24"/>
          <w:szCs w:val="24"/>
        </w:rPr>
        <w:t>This policy was updated to correct a clerical error.</w:t>
      </w:r>
      <w:r w:rsidR="0087078F">
        <w:rPr>
          <w:rFonts w:cstheme="minorHAnsi"/>
          <w:sz w:val="24"/>
          <w:szCs w:val="24"/>
        </w:rPr>
        <w:t xml:space="preserve"> </w:t>
      </w:r>
      <w:r w:rsidRPr="00423041">
        <w:rPr>
          <w:rFonts w:cstheme="minorHAnsi"/>
          <w:color w:val="FF0000"/>
          <w:sz w:val="24"/>
          <w:szCs w:val="24"/>
        </w:rPr>
        <w:t>(Recommended)</w:t>
      </w:r>
    </w:p>
    <w:p w:rsidR="00B9127B" w:rsidRPr="00423041" w:rsidRDefault="00B9127B" w:rsidP="00846D68">
      <w:pPr>
        <w:pStyle w:val="Default"/>
        <w:rPr>
          <w:rFonts w:asciiTheme="minorHAnsi" w:hAnsiTheme="minorHAnsi" w:cstheme="minorHAnsi"/>
          <w:color w:val="FF0000"/>
        </w:rPr>
      </w:pPr>
    </w:p>
    <w:sectPr w:rsidR="00B9127B" w:rsidRPr="0042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557B"/>
    <w:rsid w:val="000106B2"/>
    <w:rsid w:val="00013026"/>
    <w:rsid w:val="00014B57"/>
    <w:rsid w:val="000200F1"/>
    <w:rsid w:val="00021C22"/>
    <w:rsid w:val="00023FAB"/>
    <w:rsid w:val="000315F8"/>
    <w:rsid w:val="00036400"/>
    <w:rsid w:val="00036F5A"/>
    <w:rsid w:val="00046168"/>
    <w:rsid w:val="0004761E"/>
    <w:rsid w:val="00051FA8"/>
    <w:rsid w:val="0005660F"/>
    <w:rsid w:val="00056718"/>
    <w:rsid w:val="00061545"/>
    <w:rsid w:val="00067B62"/>
    <w:rsid w:val="00070AE7"/>
    <w:rsid w:val="00074839"/>
    <w:rsid w:val="000755E7"/>
    <w:rsid w:val="00080D3A"/>
    <w:rsid w:val="000811F3"/>
    <w:rsid w:val="0008184B"/>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A7BA8"/>
    <w:rsid w:val="001B20CA"/>
    <w:rsid w:val="001B38F4"/>
    <w:rsid w:val="001B4DCC"/>
    <w:rsid w:val="001C50D8"/>
    <w:rsid w:val="001D376F"/>
    <w:rsid w:val="001D4B3E"/>
    <w:rsid w:val="001E0DE6"/>
    <w:rsid w:val="001E5678"/>
    <w:rsid w:val="001F143C"/>
    <w:rsid w:val="001F23BF"/>
    <w:rsid w:val="001F3E1A"/>
    <w:rsid w:val="002019D5"/>
    <w:rsid w:val="0020263F"/>
    <w:rsid w:val="00207BD1"/>
    <w:rsid w:val="002112F0"/>
    <w:rsid w:val="00211A86"/>
    <w:rsid w:val="0021217B"/>
    <w:rsid w:val="00216198"/>
    <w:rsid w:val="00220082"/>
    <w:rsid w:val="0022236F"/>
    <w:rsid w:val="002364CB"/>
    <w:rsid w:val="00245233"/>
    <w:rsid w:val="00250369"/>
    <w:rsid w:val="00255644"/>
    <w:rsid w:val="00262A25"/>
    <w:rsid w:val="00270048"/>
    <w:rsid w:val="00271634"/>
    <w:rsid w:val="00285927"/>
    <w:rsid w:val="00285F20"/>
    <w:rsid w:val="00286197"/>
    <w:rsid w:val="002925C1"/>
    <w:rsid w:val="00294923"/>
    <w:rsid w:val="002A13A4"/>
    <w:rsid w:val="002A262C"/>
    <w:rsid w:val="002B4DDE"/>
    <w:rsid w:val="002B5230"/>
    <w:rsid w:val="002B54E5"/>
    <w:rsid w:val="002B7C4D"/>
    <w:rsid w:val="002C3E12"/>
    <w:rsid w:val="002C6577"/>
    <w:rsid w:val="002D1823"/>
    <w:rsid w:val="002D55B6"/>
    <w:rsid w:val="002E41DB"/>
    <w:rsid w:val="00302A2A"/>
    <w:rsid w:val="00304E16"/>
    <w:rsid w:val="00305A9C"/>
    <w:rsid w:val="00317A11"/>
    <w:rsid w:val="00317B45"/>
    <w:rsid w:val="0032392A"/>
    <w:rsid w:val="00324F95"/>
    <w:rsid w:val="00336997"/>
    <w:rsid w:val="0033754E"/>
    <w:rsid w:val="003437B4"/>
    <w:rsid w:val="0035450C"/>
    <w:rsid w:val="0036254E"/>
    <w:rsid w:val="00363693"/>
    <w:rsid w:val="00373A26"/>
    <w:rsid w:val="003922D3"/>
    <w:rsid w:val="003948E3"/>
    <w:rsid w:val="003957E3"/>
    <w:rsid w:val="003A096C"/>
    <w:rsid w:val="003A24A8"/>
    <w:rsid w:val="003B76CF"/>
    <w:rsid w:val="003C3BF2"/>
    <w:rsid w:val="003C50F3"/>
    <w:rsid w:val="003C6421"/>
    <w:rsid w:val="003C7772"/>
    <w:rsid w:val="003D6804"/>
    <w:rsid w:val="003E390B"/>
    <w:rsid w:val="003E5DB4"/>
    <w:rsid w:val="003F699B"/>
    <w:rsid w:val="00403D7A"/>
    <w:rsid w:val="0041378D"/>
    <w:rsid w:val="004150D9"/>
    <w:rsid w:val="0041662E"/>
    <w:rsid w:val="00423041"/>
    <w:rsid w:val="0042683F"/>
    <w:rsid w:val="004336BD"/>
    <w:rsid w:val="00433EF0"/>
    <w:rsid w:val="00434F4C"/>
    <w:rsid w:val="00440E8C"/>
    <w:rsid w:val="00442B0C"/>
    <w:rsid w:val="00443125"/>
    <w:rsid w:val="0044472E"/>
    <w:rsid w:val="0044495B"/>
    <w:rsid w:val="00447E97"/>
    <w:rsid w:val="0045433D"/>
    <w:rsid w:val="004546F3"/>
    <w:rsid w:val="0046118A"/>
    <w:rsid w:val="004641CE"/>
    <w:rsid w:val="004650E6"/>
    <w:rsid w:val="00475180"/>
    <w:rsid w:val="00477A02"/>
    <w:rsid w:val="0048261F"/>
    <w:rsid w:val="004831DF"/>
    <w:rsid w:val="00487A9F"/>
    <w:rsid w:val="00491607"/>
    <w:rsid w:val="00497204"/>
    <w:rsid w:val="004A1235"/>
    <w:rsid w:val="004A5149"/>
    <w:rsid w:val="004A722E"/>
    <w:rsid w:val="004C4421"/>
    <w:rsid w:val="004C5582"/>
    <w:rsid w:val="004C7FB4"/>
    <w:rsid w:val="004D3048"/>
    <w:rsid w:val="004D79B0"/>
    <w:rsid w:val="004E1A32"/>
    <w:rsid w:val="004F0AD5"/>
    <w:rsid w:val="004F11B2"/>
    <w:rsid w:val="004F73DA"/>
    <w:rsid w:val="00500F85"/>
    <w:rsid w:val="00503B1C"/>
    <w:rsid w:val="00503C98"/>
    <w:rsid w:val="0051031B"/>
    <w:rsid w:val="005200EE"/>
    <w:rsid w:val="00523EE0"/>
    <w:rsid w:val="00525093"/>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D21FE"/>
    <w:rsid w:val="005D3449"/>
    <w:rsid w:val="005E0B0E"/>
    <w:rsid w:val="005E19F2"/>
    <w:rsid w:val="005F422A"/>
    <w:rsid w:val="0060371C"/>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33B1"/>
    <w:rsid w:val="006D6769"/>
    <w:rsid w:val="006E24B3"/>
    <w:rsid w:val="006F2F2F"/>
    <w:rsid w:val="006F4AB0"/>
    <w:rsid w:val="007015C0"/>
    <w:rsid w:val="00701F78"/>
    <w:rsid w:val="007075F0"/>
    <w:rsid w:val="00710767"/>
    <w:rsid w:val="0071794A"/>
    <w:rsid w:val="00721A21"/>
    <w:rsid w:val="007268EA"/>
    <w:rsid w:val="007344A8"/>
    <w:rsid w:val="00736B7D"/>
    <w:rsid w:val="00736D4C"/>
    <w:rsid w:val="0074024B"/>
    <w:rsid w:val="00745E5F"/>
    <w:rsid w:val="007462AE"/>
    <w:rsid w:val="00747C08"/>
    <w:rsid w:val="00752D47"/>
    <w:rsid w:val="007607C6"/>
    <w:rsid w:val="00765780"/>
    <w:rsid w:val="007703A5"/>
    <w:rsid w:val="00777238"/>
    <w:rsid w:val="007862A9"/>
    <w:rsid w:val="007915F9"/>
    <w:rsid w:val="0079185B"/>
    <w:rsid w:val="00796FA6"/>
    <w:rsid w:val="007E3A54"/>
    <w:rsid w:val="007E3E35"/>
    <w:rsid w:val="007E48FD"/>
    <w:rsid w:val="007E6E43"/>
    <w:rsid w:val="007F0523"/>
    <w:rsid w:val="007F2A88"/>
    <w:rsid w:val="00800355"/>
    <w:rsid w:val="0080331E"/>
    <w:rsid w:val="00806885"/>
    <w:rsid w:val="00807413"/>
    <w:rsid w:val="0082498F"/>
    <w:rsid w:val="00834200"/>
    <w:rsid w:val="00836C99"/>
    <w:rsid w:val="00841393"/>
    <w:rsid w:val="008428BD"/>
    <w:rsid w:val="00846D68"/>
    <w:rsid w:val="00857E3F"/>
    <w:rsid w:val="00861803"/>
    <w:rsid w:val="008644E7"/>
    <w:rsid w:val="00866E5D"/>
    <w:rsid w:val="0087078F"/>
    <w:rsid w:val="008714FD"/>
    <w:rsid w:val="00872BBC"/>
    <w:rsid w:val="00875714"/>
    <w:rsid w:val="008815A4"/>
    <w:rsid w:val="00883718"/>
    <w:rsid w:val="008938E7"/>
    <w:rsid w:val="00893CEC"/>
    <w:rsid w:val="008A01EB"/>
    <w:rsid w:val="008B5AFF"/>
    <w:rsid w:val="008B7C92"/>
    <w:rsid w:val="008C06ED"/>
    <w:rsid w:val="008C2150"/>
    <w:rsid w:val="008D7403"/>
    <w:rsid w:val="008E43D9"/>
    <w:rsid w:val="008E7344"/>
    <w:rsid w:val="008F24DE"/>
    <w:rsid w:val="008F5787"/>
    <w:rsid w:val="009029BC"/>
    <w:rsid w:val="00904429"/>
    <w:rsid w:val="009056E4"/>
    <w:rsid w:val="009235C5"/>
    <w:rsid w:val="00923A41"/>
    <w:rsid w:val="00924E86"/>
    <w:rsid w:val="00926067"/>
    <w:rsid w:val="0093058B"/>
    <w:rsid w:val="00934CEB"/>
    <w:rsid w:val="0093734C"/>
    <w:rsid w:val="009514F0"/>
    <w:rsid w:val="00951ABD"/>
    <w:rsid w:val="009523BB"/>
    <w:rsid w:val="00963321"/>
    <w:rsid w:val="009674A5"/>
    <w:rsid w:val="0097362F"/>
    <w:rsid w:val="0097466A"/>
    <w:rsid w:val="00980E72"/>
    <w:rsid w:val="009821CE"/>
    <w:rsid w:val="0098222A"/>
    <w:rsid w:val="00984E09"/>
    <w:rsid w:val="00985550"/>
    <w:rsid w:val="009930F1"/>
    <w:rsid w:val="009A7ACC"/>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62B8"/>
    <w:rsid w:val="00A4655B"/>
    <w:rsid w:val="00A4686F"/>
    <w:rsid w:val="00A47473"/>
    <w:rsid w:val="00A47FAE"/>
    <w:rsid w:val="00A632FF"/>
    <w:rsid w:val="00A66EBE"/>
    <w:rsid w:val="00A719B9"/>
    <w:rsid w:val="00A763E1"/>
    <w:rsid w:val="00AA0106"/>
    <w:rsid w:val="00AA3F29"/>
    <w:rsid w:val="00AA5B1A"/>
    <w:rsid w:val="00AA7553"/>
    <w:rsid w:val="00AB0A58"/>
    <w:rsid w:val="00AB7419"/>
    <w:rsid w:val="00AC4E47"/>
    <w:rsid w:val="00AD0567"/>
    <w:rsid w:val="00AE13DC"/>
    <w:rsid w:val="00AF12D8"/>
    <w:rsid w:val="00AF3DED"/>
    <w:rsid w:val="00AF5779"/>
    <w:rsid w:val="00B04FC4"/>
    <w:rsid w:val="00B25593"/>
    <w:rsid w:val="00B32571"/>
    <w:rsid w:val="00B513B6"/>
    <w:rsid w:val="00B51894"/>
    <w:rsid w:val="00B52136"/>
    <w:rsid w:val="00B563E1"/>
    <w:rsid w:val="00B60BBA"/>
    <w:rsid w:val="00B659C4"/>
    <w:rsid w:val="00B66CF6"/>
    <w:rsid w:val="00B67303"/>
    <w:rsid w:val="00B81F9D"/>
    <w:rsid w:val="00B842D4"/>
    <w:rsid w:val="00B9127B"/>
    <w:rsid w:val="00B94637"/>
    <w:rsid w:val="00BA1F65"/>
    <w:rsid w:val="00BA26B2"/>
    <w:rsid w:val="00BA430F"/>
    <w:rsid w:val="00BB0AED"/>
    <w:rsid w:val="00BB140A"/>
    <w:rsid w:val="00BB59B8"/>
    <w:rsid w:val="00BC51D5"/>
    <w:rsid w:val="00BD1B72"/>
    <w:rsid w:val="00BD4441"/>
    <w:rsid w:val="00BE0DFF"/>
    <w:rsid w:val="00BE3E26"/>
    <w:rsid w:val="00BF501E"/>
    <w:rsid w:val="00C02A7B"/>
    <w:rsid w:val="00C07CE3"/>
    <w:rsid w:val="00C14330"/>
    <w:rsid w:val="00C15BB8"/>
    <w:rsid w:val="00C21218"/>
    <w:rsid w:val="00C21422"/>
    <w:rsid w:val="00C21978"/>
    <w:rsid w:val="00C2260D"/>
    <w:rsid w:val="00C22AD6"/>
    <w:rsid w:val="00C250D5"/>
    <w:rsid w:val="00C2705D"/>
    <w:rsid w:val="00C30421"/>
    <w:rsid w:val="00C364D2"/>
    <w:rsid w:val="00C44706"/>
    <w:rsid w:val="00C53582"/>
    <w:rsid w:val="00C567E8"/>
    <w:rsid w:val="00C57F9B"/>
    <w:rsid w:val="00C63507"/>
    <w:rsid w:val="00C64F2C"/>
    <w:rsid w:val="00C7600B"/>
    <w:rsid w:val="00C80027"/>
    <w:rsid w:val="00C87CA8"/>
    <w:rsid w:val="00C940C8"/>
    <w:rsid w:val="00CB6433"/>
    <w:rsid w:val="00CB7D30"/>
    <w:rsid w:val="00CC1E6E"/>
    <w:rsid w:val="00CD6D27"/>
    <w:rsid w:val="00CE7F1A"/>
    <w:rsid w:val="00CF13FC"/>
    <w:rsid w:val="00D15BFB"/>
    <w:rsid w:val="00D15EB1"/>
    <w:rsid w:val="00D2065B"/>
    <w:rsid w:val="00D356EE"/>
    <w:rsid w:val="00D46A66"/>
    <w:rsid w:val="00D47ADC"/>
    <w:rsid w:val="00D52AFA"/>
    <w:rsid w:val="00D5526E"/>
    <w:rsid w:val="00D603ED"/>
    <w:rsid w:val="00D62DA6"/>
    <w:rsid w:val="00D70B2C"/>
    <w:rsid w:val="00D72903"/>
    <w:rsid w:val="00D83E33"/>
    <w:rsid w:val="00D85BE1"/>
    <w:rsid w:val="00D92AE7"/>
    <w:rsid w:val="00D94E6D"/>
    <w:rsid w:val="00D94F80"/>
    <w:rsid w:val="00D95A72"/>
    <w:rsid w:val="00DA40ED"/>
    <w:rsid w:val="00DA5E05"/>
    <w:rsid w:val="00DC60F2"/>
    <w:rsid w:val="00DD4809"/>
    <w:rsid w:val="00DD4AD7"/>
    <w:rsid w:val="00DE3201"/>
    <w:rsid w:val="00DF02AD"/>
    <w:rsid w:val="00DF383E"/>
    <w:rsid w:val="00E04720"/>
    <w:rsid w:val="00E05AF5"/>
    <w:rsid w:val="00E104E2"/>
    <w:rsid w:val="00E1279A"/>
    <w:rsid w:val="00E14527"/>
    <w:rsid w:val="00E22808"/>
    <w:rsid w:val="00E2597A"/>
    <w:rsid w:val="00E32B47"/>
    <w:rsid w:val="00E33491"/>
    <w:rsid w:val="00E33782"/>
    <w:rsid w:val="00E34BA5"/>
    <w:rsid w:val="00E35FA8"/>
    <w:rsid w:val="00E40AC8"/>
    <w:rsid w:val="00E43D64"/>
    <w:rsid w:val="00E46C44"/>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27A2"/>
    <w:rsid w:val="00F031B4"/>
    <w:rsid w:val="00F109F1"/>
    <w:rsid w:val="00F21436"/>
    <w:rsid w:val="00F30B7A"/>
    <w:rsid w:val="00F42D3D"/>
    <w:rsid w:val="00F4480E"/>
    <w:rsid w:val="00F54F33"/>
    <w:rsid w:val="00F609AE"/>
    <w:rsid w:val="00F63104"/>
    <w:rsid w:val="00F63D61"/>
    <w:rsid w:val="00F87A23"/>
    <w:rsid w:val="00F92157"/>
    <w:rsid w:val="00F96232"/>
    <w:rsid w:val="00F9641C"/>
    <w:rsid w:val="00F97BF4"/>
    <w:rsid w:val="00FA62F2"/>
    <w:rsid w:val="00FB0D7B"/>
    <w:rsid w:val="00FC0BBD"/>
    <w:rsid w:val="00FC425B"/>
    <w:rsid w:val="00FC5F2F"/>
    <w:rsid w:val="00FD39F7"/>
    <w:rsid w:val="00FE207A"/>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317734746">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03372035">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7-08-30/pdf/2017-18003.pdf" TargetMode="External"/><Relationship Id="rId13" Type="http://schemas.openxmlformats.org/officeDocument/2006/relationships/hyperlink" Target="https://www.federalreserve.gov/newsevents/pressreleases/files/bcreg20171103a1.pdf" TargetMode="External"/><Relationship Id="rId3" Type="http://schemas.openxmlformats.org/officeDocument/2006/relationships/settings" Target="settings.xml"/><Relationship Id="rId7" Type="http://schemas.openxmlformats.org/officeDocument/2006/relationships/hyperlink" Target="https://www.ftc.gov/news-events/press-releases/2017/10/ftc-provides-additional-guidance-coppa-voice-recordings" TargetMode="External"/><Relationship Id="rId12" Type="http://schemas.openxmlformats.org/officeDocument/2006/relationships/hyperlink" Target="https://www.gpo.gov/fdsys/pkg/FR-2017-08-30/pdf/2017-1800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tc.gov/news-events/press-releases/2017/10/ftc-provides-additional-guidance-coppa-voice-recordings" TargetMode="External"/><Relationship Id="rId11" Type="http://schemas.openxmlformats.org/officeDocument/2006/relationships/hyperlink" Target="https://www.federalregister.gov/documents/2015/10/28/2015-26607/home-mortgage-disclosure-regulation-c" TargetMode="External"/><Relationship Id="rId5" Type="http://schemas.openxmlformats.org/officeDocument/2006/relationships/hyperlink" Target="https://www.irs.gov/pub/irs-drop/rp-17-37.pdf" TargetMode="External"/><Relationship Id="rId15" Type="http://schemas.openxmlformats.org/officeDocument/2006/relationships/fontTable" Target="fontTable.xml"/><Relationship Id="rId10" Type="http://schemas.openxmlformats.org/officeDocument/2006/relationships/hyperlink" Target="https://www.gpo.gov/fdsys/pkg/FR-2017-08-30/pdf/2017-18003.pdf" TargetMode="External"/><Relationship Id="rId4" Type="http://schemas.openxmlformats.org/officeDocument/2006/relationships/webSettings" Target="webSettings.xml"/><Relationship Id="rId9" Type="http://schemas.openxmlformats.org/officeDocument/2006/relationships/hyperlink" Target="https://www.gpo.gov/fdsys/pkg/FR-2017-08-30/pdf/2017-18003.pdf" TargetMode="External"/><Relationship Id="rId14" Type="http://schemas.openxmlformats.org/officeDocument/2006/relationships/hyperlink" Target="https://www.dol.gov/whd/regs/compliance/wh1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13</cp:revision>
  <cp:lastPrinted>2014-12-03T13:21:00Z</cp:lastPrinted>
  <dcterms:created xsi:type="dcterms:W3CDTF">2017-12-11T21:41:00Z</dcterms:created>
  <dcterms:modified xsi:type="dcterms:W3CDTF">2017-12-21T17:48:00Z</dcterms:modified>
</cp:coreProperties>
</file>